
<file path=[Content_Types].xml><?xml version="1.0" encoding="utf-8"?>
<Types xmlns="http://schemas.openxmlformats.org/package/2006/content-types">
  <Default Extension="rels" ContentType="application/vnd.openxmlformats-package.relationships+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image/png" PartName="/word/media/document_image_rId3.png"/>
  <Override ContentType="application/vnd.openxmlformats-officedocument.wordprocessingml.numbering+xml" PartName="/word/numbering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Target="word/document.xml" Type="http://schemas.openxmlformats.org/officeDocument/2006/relationships/officeDocument" Id="rId1"/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3"/></Relationships>
</file>

<file path=word/document.xml><?xml version="1.0" encoding="utf-8"?>
<w:document xmlns:w="http://schemas.openxmlformats.org/wordprocessingml/2006/main" xmlns:w15="http://schemas.microsoft.com/office/word/2012/wordml" xmlns:r="http://schemas.openxmlformats.org/officeDocument/2006/relationships" xmlns:m="http://schemas.openxmlformats.org/officeDocument/2006/math" xmlns:w14="http://schemas.microsoft.com/office/word/2010/wordml" xmlns:wp="http://schemas.openxmlformats.org/drawingml/2006/wordprocessingDrawing" xmlns:a="http://schemas.openxmlformats.org/drawingml/2006/main" xmlns:ns8="http://schemas.openxmlformats.org/schemaLibrary/2006/main" xmlns:mc="http://schemas.openxmlformats.org/markup-compatibility/2006" xmlns:wne="http://schemas.microsoft.com/office/word/2006/wordml" xmlns:c="http://schemas.openxmlformats.org/drawingml/2006/chart" xmlns:ns12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ns17="urn:schemas-microsoft-com:office:excel" xmlns:o="urn:schemas-microsoft-com:office:office" xmlns:v="urn:schemas-microsoft-com:vml" xmlns:w10="urn:schemas-microsoft-com:office:word" xmlns:ns21="urn:schemas-microsoft-com:office:powerpoint" xmlns:ns23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ns30="http://schemas.openxmlformats.org/officeDocument/2006/bibliography" xmlns:ns31="http://schemas.openxmlformats.org/drawingml/2006/compatibility" xmlns:ns32="http://schemas.openxmlformats.org/drawingml/2006/lockedCanvas" mc:Ignorable="w14 w15">
  <w:body>
    <w:p w14:paraId="53548e5" w14:textId="53548e5">
      <w:pPr>
        <w:spacing w:after="0"/>
        <w:ind w:left="0"/>
        <w:jc w:val="left"/>
        <w15:collapsed w:val="false"/>
      </w:pPr>
      <w:r>
        <w:rPr>
          <w:rFonts w:ascii="Times New Roman"/>
          <w:b w:val="false"/>
          <w:i w:val="false"/>
          <w:color w:val="000000"/>
          <w:sz w:val="28"/>
        </w:rPr>
        <w:t>
				</w:t>
      </w:r>
      <w:r>
        <w:drawing>
          <wp:inline distT="0" distB="0" distL="0" distR="0">
            <wp:extent cx="2057400" cy="571500"/>
            <wp:effectExtent l="0" t="0" r="0" b="0"/>
            <wp:docPr id="0" name="" descr=""/>
            <wp:cNvGraphicFramePr>
              <a:graphicFrameLocks noChangeAspect="true"/>
            </wp:cNvGraphicFramePr>
            <a:graphic>
              <a:graphicData uri="http://schemas.openxmlformats.org/drawingml/2006/picture">
                <pic:pic>
                  <pic:nvPicPr>
                    <pic:cNvPr id="1" name="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false"/>
          <w:i w:val="false"/>
          <w:color w:val="000000"/>
          <w:sz w:val="28"/>
        </w:rPr>
        <w:t>
					</w:t>
      </w:r>
    </w:p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  <w:sz w:val="28"/>
        </w:rPr>
        <w:t>Об утверждении технического регламента "Требования к безопасности лакокрасочных материалов и растворителей"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Постановление Правительства Республики Казахстан от 29 декабря 2007 года N 1398</w:t>
      </w:r>
    </w:p>
    <w:p>
      <w:pPr>
        <w:spacing w:after="0"/>
        <w:ind w:left="0"/>
        <w:jc w:val="both"/>
      </w:pPr>
      <w:bookmarkStart w:name="z1" w:id="0"/>
      <w:r>
        <w:rPr>
          <w:rFonts w:ascii="Times New Roman"/>
          <w:b w:val="false"/>
          <w:i w:val="false"/>
          <w:color w:val="000000"/>
          <w:sz w:val="28"/>
        </w:rPr>
        <w:t xml:space="preserve">
      Правительство Республики Казахстан </w:t>
      </w:r>
      <w:r>
        <w:rPr>
          <w:rFonts w:ascii="Times New Roman"/>
          <w:b/>
          <w:i w:val="false"/>
          <w:color w:val="000000"/>
          <w:sz w:val="28"/>
        </w:rPr>
        <w:t xml:space="preserve">ПОСТАНОВЛЯЕТ: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1. Утвердить прилагаемый технический регламент "Требования к безопасности лакокрасочных материалов и растворителей".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2. Центральным и местным исполнительным органам привести в соответствие с настоящим постановлением ранее принятые нормативные правовые акты.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3. Настоящее постановление вводится в действие по истечении 6 месяцев со дня первого официального опубликования. </w:t>
      </w:r>
    </w:p>
    <w:bookmarkEnd w:id="0"/>
    <w:p>
      <w:pPr>
        <w:spacing w:after="0"/>
        <w:ind w:left="0"/>
        <w:jc w:val="both"/>
      </w:pPr>
      <w:r>
        <w:rPr>
          <w:rFonts w:ascii="Times New Roman"/>
          <w:b w:val="false"/>
          <w:i/>
          <w:color w:val="000000"/>
          <w:sz w:val="28"/>
        </w:rPr>
        <w:t xml:space="preserve">      Премьер-Министр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/>
          <w:color w:val="000000"/>
          <w:sz w:val="28"/>
        </w:rPr>
        <w:t xml:space="preserve">      Республики Казахстан 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Утвержден            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постановлением Правительства  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Республики Казахстан     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от 29 декабря 2007 года N 1398 </w:t>
      </w:r>
    </w:p>
    <w:bookmarkStart w:name="z2" w:id="1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
Технический регламент </w:t>
      </w:r>
      <w:r>
        <w:br/>
      </w:r>
      <w:r>
        <w:rPr>
          <w:rFonts w:ascii="Times New Roman"/>
          <w:b/>
          <w:i w:val="false"/>
          <w:color w:val="000000"/>
        </w:rPr>
        <w:t xml:space="preserve">
"Требования к безопасности лакокрасочных материалов и растворителей" </w:t>
      </w:r>
    </w:p>
    <w:bookmarkEnd w:id="1"/>
    <w:bookmarkStart w:name="z3" w:id="2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
1. Область применения </w:t>
      </w:r>
    </w:p>
    <w:bookmarkEnd w:id="2"/>
    <w:bookmarkStart w:name="z4" w:id="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1. Настоящий технический регламент "О безопасности лакокрасочных материалов и растворителей" (далее - технический регламент) разработан в целях реализации Экологического </w:t>
      </w:r>
      <w:r>
        <w:rPr>
          <w:rFonts w:ascii="Times New Roman"/>
          <w:b w:val="false"/>
          <w:i w:val="false"/>
          <w:color w:val="000000"/>
          <w:sz w:val="28"/>
        </w:rPr>
        <w:t xml:space="preserve">кодекса </w:t>
      </w:r>
      <w:r>
        <w:rPr>
          <w:rFonts w:ascii="Times New Roman"/>
          <w:b w:val="false"/>
          <w:i w:val="false"/>
          <w:color w:val="000000"/>
          <w:sz w:val="28"/>
        </w:rPr>
        <w:t>Республики Казахстан от 9 января 2007 года, Трудового </w:t>
      </w:r>
      <w:r>
        <w:rPr>
          <w:rFonts w:ascii="Times New Roman"/>
          <w:b w:val="false"/>
          <w:i w:val="false"/>
          <w:color w:val="000000"/>
          <w:sz w:val="28"/>
        </w:rPr>
        <w:t xml:space="preserve">кодекса </w:t>
      </w:r>
      <w:r>
        <w:rPr>
          <w:rFonts w:ascii="Times New Roman"/>
          <w:b w:val="false"/>
          <w:i w:val="false"/>
          <w:color w:val="000000"/>
          <w:sz w:val="28"/>
        </w:rPr>
        <w:t>Республики Казахстан от 15 мая 2007 года и Законов Республики Казахстан: от 9 ноября 2004 года "О </w:t>
      </w:r>
      <w:r>
        <w:rPr>
          <w:rFonts w:ascii="Times New Roman"/>
          <w:b w:val="false"/>
          <w:i w:val="false"/>
          <w:color w:val="000000"/>
          <w:sz w:val="28"/>
        </w:rPr>
        <w:t xml:space="preserve">техническом </w:t>
      </w:r>
      <w:r>
        <w:rPr>
          <w:rFonts w:ascii="Times New Roman"/>
          <w:b w:val="false"/>
          <w:i w:val="false"/>
          <w:color w:val="000000"/>
          <w:sz w:val="28"/>
        </w:rPr>
        <w:t>регулировании", от 22 декабря 1996 года "О </w:t>
      </w:r>
      <w:r>
        <w:rPr>
          <w:rFonts w:ascii="Times New Roman"/>
          <w:b w:val="false"/>
          <w:i w:val="false"/>
          <w:color w:val="000000"/>
          <w:sz w:val="28"/>
        </w:rPr>
        <w:t xml:space="preserve">пожарной </w:t>
      </w:r>
      <w:r>
        <w:rPr>
          <w:rFonts w:ascii="Times New Roman"/>
          <w:b w:val="false"/>
          <w:i w:val="false"/>
          <w:color w:val="000000"/>
          <w:sz w:val="28"/>
        </w:rPr>
        <w:t>безопасности", от 3 апреля 2002 года " </w:t>
      </w:r>
      <w:r>
        <w:rPr>
          <w:rFonts w:ascii="Times New Roman"/>
          <w:b w:val="false"/>
          <w:i w:val="false"/>
          <w:color w:val="000000"/>
          <w:sz w:val="28"/>
        </w:rPr>
        <w:t>О  промышленной</w:t>
      </w:r>
      <w:r>
        <w:rPr>
          <w:rFonts w:ascii="Times New Roman"/>
          <w:b w:val="false"/>
          <w:i w:val="false"/>
          <w:color w:val="000000"/>
          <w:sz w:val="28"/>
        </w:rPr>
        <w:t xml:space="preserve"> безопасности на опасных производственных объектах", от 4 декабря 2002 года "О </w:t>
      </w:r>
      <w:r>
        <w:rPr>
          <w:rFonts w:ascii="Times New Roman"/>
          <w:b w:val="false"/>
          <w:i w:val="false"/>
          <w:color w:val="000000"/>
          <w:sz w:val="28"/>
        </w:rPr>
        <w:t xml:space="preserve">санитарно </w:t>
      </w:r>
      <w:r>
        <w:rPr>
          <w:rFonts w:ascii="Times New Roman"/>
          <w:b w:val="false"/>
          <w:i w:val="false"/>
          <w:color w:val="000000"/>
          <w:sz w:val="28"/>
        </w:rPr>
        <w:t>-эпидемиологическом благополучии населения", от 21 июля 2007 года "О </w:t>
      </w:r>
      <w:r>
        <w:rPr>
          <w:rFonts w:ascii="Times New Roman"/>
          <w:b w:val="false"/>
          <w:i w:val="false"/>
          <w:color w:val="000000"/>
          <w:sz w:val="28"/>
        </w:rPr>
        <w:t xml:space="preserve">безопасности </w:t>
      </w:r>
      <w:r>
        <w:rPr>
          <w:rFonts w:ascii="Times New Roman"/>
          <w:b w:val="false"/>
          <w:i w:val="false"/>
          <w:color w:val="000000"/>
          <w:sz w:val="28"/>
        </w:rPr>
        <w:t xml:space="preserve">химической продукции". </w:t>
      </w:r>
    </w:p>
    <w:bookmarkEnd w:id="3"/>
    <w:bookmarkStart w:name="z5" w:id="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2. Требования настоящего технического регламента распространяются на лакокрасочные материалы и растворители, являющиеся объектами технического регулирования: лаки, краски, эмали, грунтовки, шпатлевки, растворители и их отходы, классифицируемые в соответствии с кодами Товарной номенклатуры внешней экономической деятельности. Перечень объектов технического регулирования установлен в </w:t>
      </w:r>
      <w:r>
        <w:rPr>
          <w:rFonts w:ascii="Times New Roman"/>
          <w:b w:val="false"/>
          <w:i w:val="false"/>
          <w:color w:val="000000"/>
          <w:sz w:val="28"/>
        </w:rPr>
        <w:t xml:space="preserve">приложении </w:t>
      </w:r>
      <w:r>
        <w:rPr>
          <w:rFonts w:ascii="Times New Roman"/>
          <w:b w:val="false"/>
          <w:i w:val="false"/>
          <w:color w:val="000000"/>
          <w:sz w:val="28"/>
        </w:rPr>
        <w:t xml:space="preserve">1 к настоящему техническому регламенту. </w:t>
      </w:r>
    </w:p>
    <w:bookmarkEnd w:id="4"/>
    <w:bookmarkStart w:name="z6" w:id="5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
2. Термины и определения </w:t>
      </w:r>
    </w:p>
    <w:bookmarkEnd w:id="5"/>
    <w:bookmarkStart w:name="z7" w:id="6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3. В настоящем техническом регламенте применяются термины, использованные в </w:t>
      </w:r>
      <w:r>
        <w:rPr>
          <w:rFonts w:ascii="Times New Roman"/>
          <w:b w:val="false"/>
          <w:i w:val="false"/>
          <w:color w:val="000000"/>
          <w:sz w:val="28"/>
        </w:rPr>
        <w:t xml:space="preserve">Законе </w:t>
      </w:r>
      <w:r>
        <w:rPr>
          <w:rFonts w:ascii="Times New Roman"/>
          <w:b w:val="false"/>
          <w:i w:val="false"/>
          <w:color w:val="000000"/>
          <w:sz w:val="28"/>
        </w:rPr>
        <w:t xml:space="preserve">Республики Казахстан "О техническом регулировании", а также следующие термины и определения: </w:t>
      </w:r>
    </w:p>
    <w:bookmarkEnd w:id="6"/>
    <w:bookmarkStart w:name="z8" w:id="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1) химическое вещество - химическое соединение или смесь химических соединений, добываемых в природе или полученных промышленным путем; </w:t>
      </w:r>
    </w:p>
    <w:bookmarkEnd w:id="7"/>
    <w:bookmarkStart w:name="z9" w:id="8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2) вредное химическое вещество - химическое вещество, которое при контакте с организмом человека в случае нарушения требований безопасности может вызвать травмы, заболевания или отклонения в состоянии здоровья, обнаруживаемые современными методами как в период работы, так и в более отдаленные сроки жизни нынешнего и последующего поколений; </w:t>
      </w:r>
    </w:p>
    <w:bookmarkEnd w:id="8"/>
    <w:bookmarkStart w:name="z10" w:id="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3) лакокрасочный материал - смесь химических веществ в виде жидкости, пасты или порошка, которая после нанесения на поверхность образует лакокрасочное покрытие, обладающее защитными, декоративными или специальными техническими свойствами; </w:t>
      </w:r>
    </w:p>
    <w:bookmarkEnd w:id="9"/>
    <w:bookmarkStart w:name="z11" w:id="1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4) растворитель - химическое вещество или смесь химических веществ в виде жидкости, которая входит в состав лакокрасочного материала и применяется для регулирования его вязкости, растворения пигмента и/или связывания частиц материала; </w:t>
      </w:r>
    </w:p>
    <w:bookmarkEnd w:id="10"/>
    <w:bookmarkStart w:name="z12" w:id="1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5) водоразбавляемый лакокрасочный материал - лакокрасочный материал, растворителем которого является вода, вязкость которого регулируется применением воды; </w:t>
      </w:r>
    </w:p>
    <w:bookmarkEnd w:id="11"/>
    <w:bookmarkStart w:name="z13" w:id="1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6) водно-дисперсионный лакокрасочный материал - лакокрасочный материал на основе водных органических дисперсий; </w:t>
      </w:r>
    </w:p>
    <w:bookmarkEnd w:id="12"/>
    <w:bookmarkStart w:name="z14" w:id="1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7) органоразбавляемый лакокрасочный материал - лакокрасочный материал, растворителем которого является органическое вещество, вязкость которого регулируется применением органического растворителя; </w:t>
      </w:r>
    </w:p>
    <w:bookmarkEnd w:id="13"/>
    <w:bookmarkStart w:name="z15" w:id="1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8) порошковый лакокрасочный материал - лакокрасочный материал в виде порошка, не содержащий растворителя; </w:t>
      </w:r>
    </w:p>
    <w:bookmarkEnd w:id="14"/>
    <w:bookmarkStart w:name="z16" w:id="1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9) лак - лакокрасочный материал, который после нанесения на поверхность образует прозрачное лакокрасочное покрытие; </w:t>
      </w:r>
    </w:p>
    <w:bookmarkEnd w:id="15"/>
    <w:bookmarkStart w:name="z17" w:id="16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10) краска - лакокрасочный материал на основе растительных масел или полимеров, который после нанесения на поверхность образует полупрозрачное или непрозрачное лакокрасочное покрытие; </w:t>
      </w:r>
    </w:p>
    <w:bookmarkEnd w:id="16"/>
    <w:bookmarkStart w:name="z18" w:id="1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11) эмаль - лакокрасочный материал, который после нанесения на поверхность образует защитно-декоративное непрозрачное лакокрасочное покрытие; </w:t>
      </w:r>
    </w:p>
    <w:bookmarkEnd w:id="17"/>
    <w:bookmarkStart w:name="z19" w:id="18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12) грунтовка - лакокрасочный материал, который после нанесения непосредственно на поверхность образует защитное лакокрасочное покрытие; </w:t>
      </w:r>
    </w:p>
    <w:bookmarkEnd w:id="18"/>
    <w:bookmarkStart w:name="z20" w:id="1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13) шпатлевка - лакокрасочный материал в виде жидкости или пасты, который применяют для выравнивания поверхности; </w:t>
      </w:r>
    </w:p>
    <w:bookmarkEnd w:id="19"/>
    <w:bookmarkStart w:name="z21" w:id="2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14) ускоритель для лакокрасочного материала - химическое вещество, которое при введении в лакокрасочный материал ускоряет процесс его сушки; </w:t>
      </w:r>
    </w:p>
    <w:bookmarkEnd w:id="20"/>
    <w:bookmarkStart w:name="z22" w:id="2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15) отвердитель для лакокрасочного материала - химическое вещество, которое взаимодействует с лакокрасочным материалом и обеспечивает его сушку; </w:t>
      </w:r>
    </w:p>
    <w:bookmarkEnd w:id="21"/>
    <w:bookmarkStart w:name="z23" w:id="2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16) сиккатив для лакокрасочного материала - химическое вещество, которое взаимодействует с лакокрасочным материалом в присутствии кислорода воздуха и обеспечивает его сушку; </w:t>
      </w:r>
    </w:p>
    <w:bookmarkEnd w:id="22"/>
    <w:bookmarkStart w:name="z24" w:id="2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17) паспорт безопасности химической продукции - документ, содержащий сведения о характеристиках химической продукции и мерах по обеспечению безопасного обращения с ней; </w:t>
      </w:r>
    </w:p>
    <w:bookmarkEnd w:id="23"/>
    <w:bookmarkStart w:name="z25" w:id="2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18) взрывобезопасность лакокрасочных материалов и растворителей - состояние процессов хранения, перевозки, реализации, применения лакокрасочных материалов и растворителей, утилизации и (или) ликвидации их отходов, при котором исключается возможность взрыва или, в случае его возникновения, предотвращается воздействие на людей вызываемых взрывом опасных и вредных факторов и обеспечивается сохранение имущества; </w:t>
      </w:r>
    </w:p>
    <w:bookmarkEnd w:id="24"/>
    <w:bookmarkStart w:name="z26" w:id="2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19) пожарная безопасность лакокрасочных материалов и растворителей - состояние процессов хранения, перевозки, реализации, применения лакокрасочных материалов и растворителей, утилизации и (или) ликвидации их отходов, при котором исключается возможность возникновение пожара или, в случае его возникновения, предотвращается воздействие на людей вызываемых пожаром опасных и вредных факторов и обеспечивается сохранение имущества; </w:t>
      </w:r>
    </w:p>
    <w:bookmarkEnd w:id="25"/>
    <w:bookmarkStart w:name="z27" w:id="26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20) химическая безопасность лакокрасочных материалов и растворителей - отсутствие вредного воздействия лакокрасочных материалов и растворителей на жизнь и здоровье людей, а также на окружающую среду, в том числе животных и растения; </w:t>
      </w:r>
    </w:p>
    <w:bookmarkEnd w:id="26"/>
    <w:bookmarkStart w:name="z28" w:id="2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21) предельно допустимая концентрация - максимальное количество вредного химического вещества в единице объема, которое при ежедневном воздействии в течение длительного времени не оказывает вредного воздействия на организм людей, обнаруживаемого современными методами исследований; является гигиеническим критерием при оценке санитарно-эпидемиологического состояния окружающей среды (воздуха рабочей зоны и населенных пунктов, водных объектов и почвы); </w:t>
      </w:r>
    </w:p>
    <w:bookmarkEnd w:id="27"/>
    <w:bookmarkStart w:name="z29" w:id="28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22) летучее органическое соединение в лакокрасочном материале и растворителе - химическое вещество, присутствующее в лакокрасочном материале, самопроизвольно испаряющееся при определенных значениях температуры и давления атмосферы; </w:t>
      </w:r>
    </w:p>
    <w:bookmarkEnd w:id="28"/>
    <w:bookmarkStart w:name="z30" w:id="2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23) содержание летучих органических соединений - масса летучих органических соединений, выраженная в граммах на литр (г/л); </w:t>
      </w:r>
    </w:p>
    <w:bookmarkEnd w:id="29"/>
    <w:bookmarkStart w:name="z31" w:id="3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24) токсичность лакокрасочного материала и растворителя - совокупность свойств, внутренне присущих химическим веществам, входящим в состав лакокрасочного материала и растворителя, характеризующих способность химических веществ оказывать вредное воздействие, которое проявляется только при контакте с живым организмом; </w:t>
      </w:r>
    </w:p>
    <w:bookmarkEnd w:id="30"/>
    <w:bookmarkStart w:name="z32" w:id="3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25) сенсибилизирующее действие - действие, вызванное явлением повышенной чувствительности организма человека к воздействию химических веществ и ведущее к развитию аллергических заболеваний, оказывающее вредное воздействие на окружающую среду; </w:t>
      </w:r>
    </w:p>
    <w:bookmarkEnd w:id="31"/>
    <w:bookmarkStart w:name="z33" w:id="3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26) мутагенное действие - способность химических веществ вызывать изменения на генетическом уровне у людей, животных, растений; </w:t>
      </w:r>
    </w:p>
    <w:bookmarkEnd w:id="32"/>
    <w:bookmarkStart w:name="z34" w:id="3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27) канцерогенное действие - способность химических веществ при воздействии на организм человека вызывать появление злокачественных или доброкачественных образований; </w:t>
      </w:r>
    </w:p>
    <w:bookmarkEnd w:id="33"/>
    <w:bookmarkStart w:name="z35" w:id="3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28) эмбриотропное действие - способность химических веществ, вызывать гибель эмбриона людей, животных и семян растений; </w:t>
      </w:r>
    </w:p>
    <w:bookmarkEnd w:id="34"/>
    <w:bookmarkStart w:name="z36" w:id="3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29) гонадотропное действие - способность химических веществ оказывать вредное воздействие на репродуктивную функцию людей, животных и растений; </w:t>
      </w:r>
    </w:p>
    <w:bookmarkEnd w:id="35"/>
    <w:bookmarkStart w:name="z37" w:id="36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30) тератогенное действие - способность химических веществ вызывать повреждение зародыша человека с возникновением аномалий и пороков развития и оказывающее вредное воздействие на окружающую среду; </w:t>
      </w:r>
    </w:p>
    <w:bookmarkEnd w:id="36"/>
    <w:bookmarkStart w:name="z38" w:id="3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31) кумулятивность - способность химических веществ накапливаться и оказывать суммирующее вредное воздействие на организм человека; </w:t>
      </w:r>
    </w:p>
    <w:bookmarkEnd w:id="37"/>
    <w:bookmarkStart w:name="z39" w:id="38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32) отходы - остатки лакокрасочных материалов и растворителей, которые образовались в процессе потребления, а также лакокрасочные материалы и растворители, утратившие свои потребительские свойства; </w:t>
      </w:r>
    </w:p>
    <w:bookmarkEnd w:id="38"/>
    <w:bookmarkStart w:name="z40" w:id="3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33) утилизация отходов лакокрасочного материала и (или) растворителя - деятельность заявителя или потребителя, связанная с использованием или переработкой отходов лакокрасочного материала и (или) растворителя; </w:t>
      </w:r>
    </w:p>
    <w:bookmarkEnd w:id="39"/>
    <w:bookmarkStart w:name="z41" w:id="4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34) ликвидация отходов лакокрасочного материала и растворителей - деятельность заявителя или потребителя, связанная с уничтожением или захоронением отходов лакокрасочного материала; </w:t>
      </w:r>
    </w:p>
    <w:bookmarkEnd w:id="40"/>
    <w:bookmarkStart w:name="z42" w:id="4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35) упаковка - потребительская или транспортная тара, обеспечивающая защиту лакокрасочного материала и растворителей от повреждения и потерь, а окружающую среду от загрязнений вредными химическими веществами; </w:t>
      </w:r>
    </w:p>
    <w:bookmarkEnd w:id="41"/>
    <w:bookmarkStart w:name="z43" w:id="4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36) окрашивание - нанесение лакокрасочного материала на поверхность; </w:t>
      </w:r>
    </w:p>
    <w:bookmarkEnd w:id="42"/>
    <w:bookmarkStart w:name="z44" w:id="4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37) заявитель - физическое или юридическое лицо, предоставившее продукцию для подтверждения соответствия; </w:t>
      </w:r>
    </w:p>
    <w:bookmarkEnd w:id="43"/>
    <w:bookmarkStart w:name="z45" w:id="4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38) поставщик продукции - физическое или юридическое лицо независимо от форм собственности, реализующее лакокрасочные материалы и растворители; </w:t>
      </w:r>
    </w:p>
    <w:bookmarkEnd w:id="44"/>
    <w:bookmarkStart w:name="z46" w:id="4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39) потребитель - физическое или юридическое лицо, приобретающее лакокрасочные материалы и растворители для непосредственного употребления (использования). </w:t>
      </w:r>
    </w:p>
    <w:bookmarkEnd w:id="45"/>
    <w:bookmarkStart w:name="z47" w:id="46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
3. Условия обращения продукции на рынке </w:t>
      </w:r>
    </w:p>
    <w:bookmarkEnd w:id="46"/>
    <w:bookmarkStart w:name="z48" w:id="4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4. Лакокрасочные материалы и растворители должны соответствовать требованиям, установленными настоящим техническим регламентом. </w:t>
      </w:r>
    </w:p>
    <w:bookmarkEnd w:id="47"/>
    <w:bookmarkStart w:name="z49" w:id="48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5. Лакокрасочные материалы и растворители могут быть поставлены на рынок и реализованы только в том случае, если они не представляют опасности для здоровья людей при применении по назначению. </w:t>
      </w:r>
    </w:p>
    <w:bookmarkEnd w:id="48"/>
    <w:bookmarkStart w:name="z50" w:id="49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
4. Требования к безопасности продукции </w:t>
      </w:r>
    </w:p>
    <w:bookmarkEnd w:id="49"/>
    <w:bookmarkStart w:name="z51" w:id="50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
4.1. Общие требования </w:t>
      </w:r>
    </w:p>
    <w:bookmarkEnd w:id="50"/>
    <w:bookmarkStart w:name="z52" w:id="5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6. Безопасность лакокрасочных материалов и растворителей при производстве, хранении, перевозке, реализации, применении, утилизации и (или) ликвидации отходов должна быть достигнута за счет снижения уровня риска для жизни и здоровья граждан, имущества физических и юридических лиц, государственного имущества, охраны окружающей среды, жизни и здоровья животных и растений до допустимого уровня. </w:t>
      </w:r>
    </w:p>
    <w:bookmarkEnd w:id="51"/>
    <w:bookmarkStart w:name="z53" w:id="5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7. Для установления допустимого уровня риска производитель должен: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1) определить возможные группы потребителей лакокрасочных материалов и растворителей;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2) определить все виды возможного предсказуемого неправильного использования лакокрасочных материалов и растворителей;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3) предусмотреть возникновение опасности, при производстве, хранении, перевозке, реализации и применении лакокрасочных материалов и растворителей, утилизации и ликвидации отходов;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4) оценить риск, возникающий вследствие определенной опасности;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5) заменять наиболее опасные химические вещества в составе лакокрасочных материалов и растворителей на менее опасные химические вещества;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6) заменять органоразбавляемые лакокрасочные материалы и растворители на водоразбавляемые и порошковые лакокрасочные материалы и растворители;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7) применять защитные меры;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8) проводить обучение персонала безопасным методам и приемам труда;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9) сопровождать лакокрасочный материал и растворитель информацией о безопасном применении. </w:t>
      </w:r>
    </w:p>
    <w:bookmarkEnd w:id="52"/>
    <w:bookmarkStart w:name="z54" w:id="53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
4.2. Требования взрывобезопасности и пожарной безопасности </w:t>
      </w:r>
      <w:r>
        <w:br/>
      </w:r>
      <w:r>
        <w:rPr>
          <w:rFonts w:ascii="Times New Roman"/>
          <w:b/>
          <w:i w:val="false"/>
          <w:color w:val="000000"/>
        </w:rPr>
        <w:t xml:space="preserve">
лакокрасочных материалов и растворителей </w:t>
      </w:r>
    </w:p>
    <w:bookmarkEnd w:id="53"/>
    <w:bookmarkStart w:name="z55" w:id="5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8. Взрывоопасность и пожарная опасность лакокрасочных материалов и растворителей обусловлена физико-химическими свойствами и показателями химических веществ, входящих в их состав и способных вызывать возникновение взрыва и пожара. </w:t>
      </w:r>
    </w:p>
    <w:bookmarkEnd w:id="54"/>
    <w:bookmarkStart w:name="z56" w:id="5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9. В лакокрасочных материалах и растворителях должны применяться химические вещества с определенными показателями взрывоопасности и пожарной опасности. </w:t>
      </w:r>
    </w:p>
    <w:bookmarkEnd w:id="55"/>
    <w:bookmarkStart w:name="z57" w:id="56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10. При применении лакокрасочных материалов и растворителей в зданиях и сооружениях должны быть определены показатели взрывоопасности и пожарной опасности с учетом функционального назначения помещения. </w:t>
      </w:r>
    </w:p>
    <w:bookmarkEnd w:id="56"/>
    <w:bookmarkStart w:name="z58" w:id="5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11. Запрещается применять в лакокрасочных материалах и растворителях химические вещества, образующие взрывоопасные смеси. </w:t>
      </w:r>
    </w:p>
    <w:bookmarkEnd w:id="57"/>
    <w:bookmarkStart w:name="z59" w:id="58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12. Запрещается совместное хранение, перевозка и применение лакокрасочных материалов и растворителей, которые при взаимодействии друг с другом вызывают воспламенение, взрыв или образуют горючие газы. </w:t>
      </w:r>
    </w:p>
    <w:bookmarkEnd w:id="58"/>
    <w:bookmarkStart w:name="z60" w:id="5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13. Взрывобезопасность и пожарная безопасность при хранении, перевозке, реализации, применении лакокрасочных материалов и растворителей, утилизации и (или) ликвидации отходов должна обеспечиваться мерами, предотвращающими условия возникновения взрыва и пожара: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1) производитель должен предупредить потребителя о взрывоопасности и пожарной опасности лакокрасочных материалов и растворителей;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2) потребитель должен соблюдать требования по безопасному применению лакокрасочных материалов и растворителей, указанные заявителем в специально прилагаемой информации;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      3) потребитель должен соблюдать требования и </w:t>
      </w:r>
      <w:r>
        <w:rPr>
          <w:rFonts w:ascii="Times New Roman"/>
          <w:b w:val="false"/>
          <w:i w:val="false"/>
          <w:color w:val="000000"/>
          <w:sz w:val="28"/>
        </w:rPr>
        <w:t>правила</w:t>
      </w:r>
      <w:r>
        <w:rPr>
          <w:rFonts w:ascii="Times New Roman"/>
          <w:b w:val="false"/>
          <w:i w:val="false"/>
          <w:color w:val="000000"/>
          <w:sz w:val="28"/>
        </w:rPr>
        <w:t xml:space="preserve"> пожарной безопасности в соответствии с </w:t>
      </w:r>
      <w:r>
        <w:rPr>
          <w:rFonts w:ascii="Times New Roman"/>
          <w:b w:val="false"/>
          <w:i w:val="false"/>
          <w:color w:val="000000"/>
          <w:sz w:val="28"/>
        </w:rPr>
        <w:t>Законом</w:t>
      </w:r>
      <w:r>
        <w:rPr>
          <w:rFonts w:ascii="Times New Roman"/>
          <w:b w:val="false"/>
          <w:i w:val="false"/>
          <w:color w:val="ff0000"/>
          <w:sz w:val="28"/>
        </w:rPr>
        <w:t> </w:t>
      </w:r>
      <w:r>
        <w:rPr>
          <w:rFonts w:ascii="Times New Roman"/>
          <w:b w:val="false"/>
          <w:i w:val="false"/>
          <w:color w:val="000000"/>
          <w:sz w:val="28"/>
        </w:rPr>
        <w:t xml:space="preserve">Республики Казахстан "О пожарной безопасности". </w:t>
      </w:r>
    </w:p>
    <w:bookmarkEnd w:id="59"/>
    <w:bookmarkStart w:name="z61" w:id="6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14. Для уменьшения риска возникновения взрыва и пожара должны предусматриваться мероприятия: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1) замена наиболее взрывоопасных и пожароопасных летучих органических соединений на менее опасные;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2) замена органоразбавляемых лакокрасочных материалов и растворителей водоразбавляемыми;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3) использованием лакокрасочных материалов и растворителей с высоким сухим остатком;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4) соблюдение требований пожарной безопасности. </w:t>
      </w:r>
    </w:p>
    <w:bookmarkEnd w:id="60"/>
    <w:bookmarkStart w:name="z62" w:id="6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15. В условиях промышленного применения лакокрасочных материалов и растворителей уменьшение риска возникновения взрыва и пожара должно достигаться следующими мерами и средствами: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1) использованием методов применения лакокрасочных материалов и растворителей, обеспечивающих максимально возможный уровень взрывобезопасности и пожарной безопасности;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2) механизацией и автоматизацией процессов применения лакокрасочных материалов и растворителей;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3) использованием оборудования во взрывозащищенном исполнении;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4) использованием искрогасителей, искроуловителей, огнезадерживающих, огнепреграждающих, пыле- и металлоулавливающих и противовзрывных устройств, систем защиты от статического электричества;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5) использованием системы вентиляции, предотвращающей образование пожаро- и взрывоопасных концентраций летучих органических соединений;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6) обеспечением эффективными средствами пожаротушения. </w:t>
      </w:r>
    </w:p>
    <w:bookmarkEnd w:id="61"/>
    <w:bookmarkStart w:name="z63" w:id="62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
4.3. Требования химической безопасности лакокрасочных </w:t>
      </w:r>
      <w:r>
        <w:br/>
      </w:r>
      <w:r>
        <w:rPr>
          <w:rFonts w:ascii="Times New Roman"/>
          <w:b/>
          <w:i w:val="false"/>
          <w:color w:val="000000"/>
        </w:rPr>
        <w:t xml:space="preserve">
материалов и растворителей </w:t>
      </w:r>
    </w:p>
    <w:bookmarkEnd w:id="62"/>
    <w:bookmarkStart w:name="z64" w:id="6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16. Обеспечение химической безопасности лакокрасочных материалов и растворителей достигается ограничением использования опасных химических веществ и (или) снижением их содержания в составе лакокрасочного материала и растворителя. </w:t>
      </w:r>
    </w:p>
    <w:bookmarkEnd w:id="63"/>
    <w:bookmarkStart w:name="z65" w:id="6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17. В составе лакокрасочного материала и растворителя следует использовать химические вещества, зарегистрированные в соответствии с  </w:t>
      </w:r>
      <w:r>
        <w:rPr>
          <w:rFonts w:ascii="Times New Roman"/>
          <w:b w:val="false"/>
          <w:i w:val="false"/>
          <w:color w:val="000000"/>
          <w:sz w:val="28"/>
        </w:rPr>
        <w:t xml:space="preserve">Законом </w:t>
      </w:r>
      <w:r>
        <w:rPr>
          <w:rFonts w:ascii="Times New Roman"/>
          <w:b w:val="false"/>
          <w:i w:val="false"/>
          <w:color w:val="000000"/>
          <w:sz w:val="28"/>
        </w:rPr>
        <w:t xml:space="preserve">  Республики Казахстан "О безопасности химической продукции". </w:t>
      </w:r>
    </w:p>
    <w:bookmarkEnd w:id="64"/>
    <w:bookmarkStart w:name="z66" w:id="6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18. Запрещается хранение, перевозка, реализация и применение лакокрасочных материалов и растворителей без наличия положительного санитарно-эпидемиологического заключения и паспорта безопасности химической продукции. </w:t>
      </w:r>
    </w:p>
    <w:bookmarkEnd w:id="65"/>
    <w:bookmarkStart w:name="z67" w:id="66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19. Запрещается использовать в составе лакокрасочных материалов и растворителей химические вещества с неизученным сенсибилизирующим действием. </w:t>
      </w:r>
    </w:p>
    <w:bookmarkEnd w:id="66"/>
    <w:bookmarkStart w:name="z68" w:id="6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20. Запрещается использовать в составе лакокрасочных материалов и растворителей летучие органические соединения: бензол, пиробензол, хлорированные углеводороды, метанол. </w:t>
      </w:r>
    </w:p>
    <w:bookmarkEnd w:id="67"/>
    <w:bookmarkStart w:name="z69" w:id="68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21. </w:t>
      </w:r>
      <w:r>
        <w:rPr>
          <w:rFonts w:ascii="Times New Roman"/>
          <w:b w:val="false"/>
          <w:i w:val="false"/>
          <w:color w:val="ff0000"/>
          <w:sz w:val="28"/>
        </w:rPr>
        <w:t xml:space="preserve">(Исключен постановлением Правительства РК от 16.01.2009 </w:t>
      </w:r>
      <w:r>
        <w:rPr>
          <w:rFonts w:ascii="Times New Roman"/>
          <w:b w:val="false"/>
          <w:i w:val="false"/>
          <w:color w:val="000000"/>
          <w:sz w:val="28"/>
        </w:rPr>
        <w:t xml:space="preserve">N 13 </w:t>
      </w:r>
      <w:r>
        <w:rPr>
          <w:rFonts w:ascii="Times New Roman"/>
          <w:b w:val="false"/>
          <w:i w:val="false"/>
          <w:color w:val="ff0000"/>
          <w:sz w:val="28"/>
        </w:rPr>
        <w:t xml:space="preserve">). </w:t>
      </w:r>
    </w:p>
    <w:bookmarkEnd w:id="68"/>
    <w:bookmarkStart w:name="z70" w:id="6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22. Запрещается использовать в составе лакокрасочных материалов и растворителей химические вещества: ртуть, мышьяк и их соединения. </w:t>
      </w:r>
    </w:p>
    <w:bookmarkEnd w:id="69"/>
    <w:bookmarkStart w:name="z71" w:id="7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23. Запрещается использовать в составе лакокрасочных материалов и растворителей, применяемых в строительстве для внутренних работ, химические вещества: свинец, хром, кадмий и их соединения. </w:t>
      </w:r>
    </w:p>
    <w:bookmarkEnd w:id="70"/>
    <w:bookmarkStart w:name="z72" w:id="7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24. Содержание летучих органических соединений в лакокрасочных материалах и растворителях на эфирах целлюлозы и в пропиточных лакокрасочных материалах и растворителях, применяемых в строительстве, не должно превышать 60 %. </w:t>
      </w:r>
    </w:p>
    <w:bookmarkEnd w:id="71"/>
    <w:bookmarkStart w:name="z73" w:id="7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25. Лакокрасочные материалы и растворители не должны выделять в окружающую среду вредные химические вещества в таких количествах, которые могут оказывать прямое или косвенное неблагоприятное воздействие на организм человека (с учетом совместного воздействия всех выделяющихся химических веществ). При выделении нескольких вредных химических веществ, сумма отношений концентраций к их предельно допустимой концентрации не должна превышать единицу. </w:t>
      </w:r>
    </w:p>
    <w:bookmarkEnd w:id="72"/>
    <w:bookmarkStart w:name="z74" w:id="7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26. Концентрация вредных веществ в воздухе эксплуатируемых зданий, строений, сооружений и помещений при использовании лакокрасочных материалов и растворителей не должна превышать нормативные значения предельно допустимых концентраций летучих органических соединений в воздухе рабочей зоны или в атмосферном воздухе в зависимости от функционального назначения помещений. </w:t>
      </w:r>
    </w:p>
    <w:bookmarkEnd w:id="73"/>
    <w:bookmarkStart w:name="z75" w:id="7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27. Гигиенические нормативы основных летучих органических соединений в воздухе рабочей зоны и в атмосферном воздухе населенных пунктах указаны в </w:t>
      </w:r>
      <w:r>
        <w:rPr>
          <w:rFonts w:ascii="Times New Roman"/>
          <w:b w:val="false"/>
          <w:i w:val="false"/>
          <w:color w:val="000000"/>
          <w:sz w:val="28"/>
        </w:rPr>
        <w:t xml:space="preserve">таблице </w:t>
      </w:r>
      <w:r>
        <w:rPr>
          <w:rFonts w:ascii="Times New Roman"/>
          <w:b w:val="false"/>
          <w:i w:val="false"/>
          <w:color w:val="000000"/>
          <w:sz w:val="28"/>
        </w:rPr>
        <w:t>1 приложения 2 к настоящему техническому регламенту; гигиенические нормативы основных летучих органических соединений в воде водных объектов хозяйственно-питьевого и культурно-бытового водопользования и в почве - в </w:t>
      </w:r>
      <w:r>
        <w:rPr>
          <w:rFonts w:ascii="Times New Roman"/>
          <w:b w:val="false"/>
          <w:i w:val="false"/>
          <w:color w:val="000000"/>
          <w:sz w:val="28"/>
        </w:rPr>
        <w:t xml:space="preserve">таблице </w:t>
      </w:r>
      <w:r>
        <w:rPr>
          <w:rFonts w:ascii="Times New Roman"/>
          <w:b w:val="false"/>
          <w:i w:val="false"/>
          <w:color w:val="000000"/>
          <w:sz w:val="28"/>
        </w:rPr>
        <w:t>2 приложения 2 к настоящему техническому регламенту; гигиенические нормативы соединений тяжелых металлов в воздухе рабочей зоны и в атмосферном воздухе населенных пунктах - в </w:t>
      </w:r>
      <w:r>
        <w:rPr>
          <w:rFonts w:ascii="Times New Roman"/>
          <w:b w:val="false"/>
          <w:i w:val="false"/>
          <w:color w:val="000000"/>
          <w:sz w:val="28"/>
        </w:rPr>
        <w:t xml:space="preserve">таблице </w:t>
      </w:r>
      <w:r>
        <w:rPr>
          <w:rFonts w:ascii="Times New Roman"/>
          <w:b w:val="false"/>
          <w:i w:val="false"/>
          <w:color w:val="000000"/>
          <w:sz w:val="28"/>
        </w:rPr>
        <w:t xml:space="preserve">3 приложения 2 к настоящему техническому регламенту.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      Токсикологические показатели основных летучих органических соединений, входящих в состав лакокрасочных материалов и растворителей, указаны в </w:t>
      </w:r>
      <w:r>
        <w:rPr>
          <w:rFonts w:ascii="Times New Roman"/>
          <w:b w:val="false"/>
          <w:i w:val="false"/>
          <w:color w:val="000000"/>
          <w:sz w:val="28"/>
        </w:rPr>
        <w:t xml:space="preserve">таблице </w:t>
      </w:r>
      <w:r>
        <w:rPr>
          <w:rFonts w:ascii="Times New Roman"/>
          <w:b w:val="false"/>
          <w:i w:val="false"/>
          <w:color w:val="000000"/>
          <w:sz w:val="28"/>
        </w:rPr>
        <w:t xml:space="preserve">4 приложения 2 к настоящему техническому регламенту. </w:t>
      </w:r>
    </w:p>
    <w:bookmarkEnd w:id="74"/>
    <w:bookmarkStart w:name="z76" w:id="7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28. Летучие органические соединения, не указанные в </w:t>
      </w:r>
      <w:r>
        <w:rPr>
          <w:rFonts w:ascii="Times New Roman"/>
          <w:b w:val="false"/>
          <w:i w:val="false"/>
          <w:color w:val="000000"/>
          <w:sz w:val="28"/>
        </w:rPr>
        <w:t xml:space="preserve">приложении </w:t>
      </w:r>
      <w:r>
        <w:rPr>
          <w:rFonts w:ascii="Times New Roman"/>
          <w:b w:val="false"/>
          <w:i w:val="false"/>
          <w:color w:val="000000"/>
          <w:sz w:val="28"/>
        </w:rPr>
        <w:t xml:space="preserve">2, разрешается применять при соблюдении всех требований настоящего технического регламента. </w:t>
      </w:r>
    </w:p>
    <w:bookmarkEnd w:id="75"/>
    <w:bookmarkStart w:name="z77" w:id="76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
4.4. Требования безопасности при хранении </w:t>
      </w:r>
      <w:r>
        <w:br/>
      </w:r>
      <w:r>
        <w:rPr>
          <w:rFonts w:ascii="Times New Roman"/>
          <w:b/>
          <w:i w:val="false"/>
          <w:color w:val="000000"/>
        </w:rPr>
        <w:t xml:space="preserve">
лакокрасочных материалов и растворителей </w:t>
      </w:r>
    </w:p>
    <w:bookmarkEnd w:id="76"/>
    <w:bookmarkStart w:name="z78" w:id="7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29. Лакокрасочные материалы и растворители допускаются к хранению при условии, что они надлежащим образом упакованы, маркированы, снабжены информацией по безопасному хранению. </w:t>
      </w:r>
    </w:p>
    <w:bookmarkEnd w:id="77"/>
    <w:bookmarkStart w:name="z79" w:id="78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30. При хранении лакокрасочных материалов и растворителей должны обеспечиваться: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1) сохранение герметичности, целостности, прочности упаковки, исключающее несанкционированный доступ к продукции с последующим изменением ее потребительских свойств и показателей безопасности;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2) наличие сопроводительных документов к каждой партии лакокрасочного материала и растворителя с указанием условий хранения, сроков хранения и инструкций на случай возникновения нештатных, аварийных или чрезвычайных ситуаций;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3) использование приемов и методов охраны труда, исключающих риск воздействия лакокрасочных материалов и растворителей на жизнь и здоровье граждан, имущества физических и юридических лиц, государственного имущества, окружающую среду, жизнь и здоровье животных и растений;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4) предоставление работающему персоналу необходимых индивидуальных и коллективных средств защиты, спецодежды, средств личной гигиены, средств оказания первой медицинской помощи;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5) ознакомление работающего персонала с информацией о требованиях безопасности и приемах безопасной работы при хранении лакокрасочных материалов и растворителей;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6) разработка мер по предотвращению аварийных ситуаций и ликвидации их последствий, включающих способы и средства пожаротушения. </w:t>
      </w:r>
    </w:p>
    <w:bookmarkEnd w:id="78"/>
    <w:bookmarkStart w:name="z80" w:id="7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31. Защитные меры при хранении лакокрасочных материалов и растворителей должны указываться заявителем в паспорте безопасности химической продукции. </w:t>
      </w:r>
    </w:p>
    <w:bookmarkEnd w:id="79"/>
    <w:bookmarkStart w:name="z81" w:id="8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32. К работам при хранении продукции допускается персонал, имеющий необходимую квалификацию для соблюдения требований безопасности. </w:t>
      </w:r>
    </w:p>
    <w:bookmarkEnd w:id="80"/>
    <w:bookmarkStart w:name="z82" w:id="8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33. Помещения для хранения лакокрасочных материалов и растворителей должно соответствовать требованиям санитарно-эпидемиологических норм и </w:t>
      </w:r>
      <w:r>
        <w:rPr>
          <w:rFonts w:ascii="Times New Roman"/>
          <w:b w:val="false"/>
          <w:i w:val="false"/>
          <w:color w:val="000000"/>
          <w:sz w:val="28"/>
        </w:rPr>
        <w:t>правилам</w:t>
      </w:r>
      <w:r>
        <w:rPr>
          <w:rFonts w:ascii="Times New Roman"/>
          <w:b w:val="false"/>
          <w:i w:val="false"/>
          <w:color w:val="000000"/>
          <w:sz w:val="28"/>
        </w:rPr>
        <w:t xml:space="preserve"> пожарной безопасности. </w:t>
      </w:r>
    </w:p>
    <w:bookmarkEnd w:id="81"/>
    <w:bookmarkStart w:name="z83" w:id="82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
4.5. Требования безопасности при перевозке </w:t>
      </w:r>
      <w:r>
        <w:br/>
      </w:r>
      <w:r>
        <w:rPr>
          <w:rFonts w:ascii="Times New Roman"/>
          <w:b/>
          <w:i w:val="false"/>
          <w:color w:val="000000"/>
        </w:rPr>
        <w:t xml:space="preserve">
лакокрасочных материалов и растворителей </w:t>
      </w:r>
    </w:p>
    <w:bookmarkEnd w:id="82"/>
    <w:bookmarkStart w:name="z84" w:id="8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34. Лакокрасочные материалы и растворители допускаются к перевозке при условии, что они надлежащим образом упакованы, маркированы, снабжены информацией по безопасной перевозке. </w:t>
      </w:r>
    </w:p>
    <w:bookmarkEnd w:id="83"/>
    <w:bookmarkStart w:name="z85" w:id="8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35. При перевозке лакокрасочных материалов и растворителей должны обеспечиваться: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1) сохранение герметичности, целостности, прочности упаковки, исключающее несанкционированный доступ к продукции с последующим изменением ее потребительских свойств и показателей безопасности;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2) наличие сопроводительных документов к каждой партии лакокрасочного материала и растворителя с указанием условий хранения, сроков хранения и инструкций на случай возникновения нештатных, аварийных или чрезвычайных ситуаций;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3) использование приемов и методов охраны труда, исключающих риск воздействия лакокрасочных материалов и растворителей на жизнь и здоровье граждан, имущества физических и юридических лиц, государственного имущества, окружающую среду, жизнь и здоровье животных и растений;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4) предоставление работающему персоналу необходимых индивидуальных и коллективных средств защиты, спецодежды, средств личной гигиены, средств оказания первой медицинской помощи;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5) ознакомление работающего персонала с информацией о требованиях безопасности и приемах безопасной работы при перевозке лакокрасочных материалов и растворителей;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6) разработка мер по предотвращению аварийных ситуаций и ликвидации их последствий, включающих способы и средства пожаротушения. </w:t>
      </w:r>
    </w:p>
    <w:bookmarkEnd w:id="84"/>
    <w:bookmarkStart w:name="z86" w:id="8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36. Защитные меры при перевозке лакокрасочных материалов и растворителей должны указываться заявителем в паспорте безопасности химической продукции. </w:t>
      </w:r>
    </w:p>
    <w:bookmarkEnd w:id="85"/>
    <w:bookmarkStart w:name="z87" w:id="86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37. К перевозке продукции допускается персонал, имеющий необходимую квалификацию для соблюдения требований безопасности. </w:t>
      </w:r>
    </w:p>
    <w:bookmarkEnd w:id="86"/>
    <w:bookmarkStart w:name="z88" w:id="87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
4.6. Требования безопасности при реализации </w:t>
      </w:r>
      <w:r>
        <w:br/>
      </w:r>
      <w:r>
        <w:rPr>
          <w:rFonts w:ascii="Times New Roman"/>
          <w:b/>
          <w:i w:val="false"/>
          <w:color w:val="000000"/>
        </w:rPr>
        <w:t xml:space="preserve">
лакокрасочных материалов и растворителей </w:t>
      </w:r>
    </w:p>
    <w:bookmarkEnd w:id="87"/>
    <w:bookmarkStart w:name="z89" w:id="88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38. Лакокрасочные материалы и растворители допускаются к реализации при условии, что они надлежащим образом упакованы, маркированы, снабжены информацией по безопасному хранению, перевозке и реализации. </w:t>
      </w:r>
    </w:p>
    <w:bookmarkEnd w:id="88"/>
    <w:bookmarkStart w:name="z90" w:id="8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39. При реализации лакокрасочных материалов и растворителей должны обеспечиваться: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1) сохранение герметичности, целостности, прочности упаковки, исключающее несанкционированный доступ к продукции с последующим изменением ее потребительских свойств и показателей безопасности;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2) наличие сопроводительных документов к каждой партии лакокрасочного материала и растворителя с указанием условий хранения, сроков хранения и инструкций на случай возникновения нештатных, аварийных или чрезвычайных ситуаций;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3) использование приемов и методов охраны труда, исключающих риск воздействия лакокрасочных материалов и растворителей на жизнь и здоровье граждан, имущества физических и юридических лиц, государственного имущества, окружающую среду, жизнь и здоровье животных и растений;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4) предоставление работающему персоналу необходимых индивидуальных и коллективных средств защиты, спецодежды, средств личной гигиены, средств оказания первой медицинской помощи;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5) ознакомление работающего персонала с информацией о требованиях безопасности и приемах безопасной работы реализации лакокрасочных материалов и растворителей;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6) разработка мер по предотвращению аварийных ситуаций и ликвидации их последствий, включающих способы и средства пожаротушения. </w:t>
      </w:r>
    </w:p>
    <w:bookmarkEnd w:id="89"/>
    <w:bookmarkStart w:name="z91" w:id="9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40. Защитные меры при реализации лакокрасочных материалов и растворителей должны указываться заявителем в паспорте безопасности химической продукции. </w:t>
      </w:r>
    </w:p>
    <w:bookmarkEnd w:id="90"/>
    <w:bookmarkStart w:name="z92" w:id="9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41. К работам при реализации продукции допускается персонал, имеющий необходимую квалификацию для соблюдения требований безопасности. </w:t>
      </w:r>
    </w:p>
    <w:bookmarkEnd w:id="91"/>
    <w:bookmarkStart w:name="z93" w:id="9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42. Помещения для реализации лакокрасочных материалов и растворителей должно соответствовать требованиям санитарных норм и </w:t>
      </w:r>
      <w:r>
        <w:rPr>
          <w:rFonts w:ascii="Times New Roman"/>
          <w:b w:val="false"/>
          <w:i w:val="false"/>
          <w:color w:val="000000"/>
          <w:sz w:val="28"/>
        </w:rPr>
        <w:t>правилам</w:t>
      </w:r>
      <w:r>
        <w:rPr>
          <w:rFonts w:ascii="Times New Roman"/>
          <w:b w:val="false"/>
          <w:i w:val="false"/>
          <w:color w:val="000000"/>
          <w:sz w:val="28"/>
        </w:rPr>
        <w:t xml:space="preserve"> пожарной безопасности. </w:t>
      </w:r>
    </w:p>
    <w:bookmarkEnd w:id="92"/>
    <w:bookmarkStart w:name="z94" w:id="93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
4.7. Требования безопасности при применении </w:t>
      </w:r>
      <w:r>
        <w:br/>
      </w:r>
      <w:r>
        <w:rPr>
          <w:rFonts w:ascii="Times New Roman"/>
          <w:b/>
          <w:i w:val="false"/>
          <w:color w:val="000000"/>
        </w:rPr>
        <w:t xml:space="preserve">
лакокрасочных материалов и растворителей </w:t>
      </w:r>
    </w:p>
    <w:bookmarkEnd w:id="93"/>
    <w:bookmarkStart w:name="z95" w:id="9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43. Лакокрасочные материалы допускаются к применению при условии, что они надлежащим образом упакованы, маркированы, снабжены знаками опасности, информацией по их безопасному применению. </w:t>
      </w:r>
    </w:p>
    <w:bookmarkEnd w:id="94"/>
    <w:bookmarkStart w:name="z96" w:id="9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44. Информация по безопасному применению должна разрабатываться производителем. </w:t>
      </w:r>
    </w:p>
    <w:bookmarkEnd w:id="95"/>
    <w:bookmarkStart w:name="z97" w:id="96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45. Информация по безопасному применению лакокрасочных материалов и растворителей в бытовых условиях должна содержать сведения о: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1) индивидуальных средствах защиты при работе с лакокрасочными материалами и растворителями;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2) приемах и методах труда, исключающих опасность воздействия лакокрасочных материалов и растворителей на жизнь и здоровье граждан, имущество физических и юридических лиц, государственное имущество, окружающую среду, жизнь и здоровье животных. </w:t>
      </w:r>
    </w:p>
    <w:bookmarkEnd w:id="96"/>
    <w:bookmarkStart w:name="z98" w:id="9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46. Информация по безопасному применению лакокрасочных материалов и растворителей в промышленных условиях должна содержать: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1) перечень химических веществ, оказывающих вредное воздействие на граждан и окружающую среду, и подлежащих санитарно-эпидемиологическому контролю в воздухе рабочей зоны, атмосферном воздухе и окружающей среде;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2) перечень химических веществ, обладающих сенсибилизирующими свойствами;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3) перечень необходимых коллективных и индивидуальных средств защиты работающего персонала;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4) перечень необходимых технических средств контроля за безопасностью применения лакокрасочных материалов и растворителей;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5) рекомендации по выбору приемов и методов труда (включая технологии и оборудование), исключающие контакт человека с лакокрасочными материалами и растворителями и опасность воздействия на жизнь и здоровье граждан, имущества физических и юридических лиц, государственного имущества, окружающую среду, жизнь и здоровье животных, а также исключение создания аварийных ситуаций;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6) способы предотвращения аварийных ситуаций, в том числе требований к оборудованию и перечень способов и средств пожаротушения, взрывозащиты. </w:t>
      </w:r>
    </w:p>
    <w:bookmarkEnd w:id="97"/>
    <w:bookmarkStart w:name="z99" w:id="98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47. Промышленное применение лакокрасочных материалов и растворителей должно осуществляться персоналом, имеющим необходимую квалификацию, обученным безопасным методам и приемам труда, обеспеченным необходимыми средствами защиты и допущенным к работам с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лакокрасочными материалами и растворителями в соответствии с требованиями безопасности и охраны труда работающего персонала. </w:t>
      </w:r>
    </w:p>
    <w:bookmarkEnd w:id="98"/>
    <w:bookmarkStart w:name="z100" w:id="9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48. При промышленном применении лакокрасочных материалов и растворителей взрывобезопасность, пожарная безопасность и химическая безопасность должна обеспечиваться мерами, реализуемыми путем: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1) выбора технологии и оборудования, приемов и методов труда, которые сводят к минимуму опасности, связанные с применением лакокрасочных материалов и растворителей;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2) использования и надлежащего содержания технических средств контроля за безопасностью применения лакокрасочных материалов и растворителей;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3) проведения производственного лабораторного контроля за содержанием вредных химических веществ, выделяющихся при применении лакокрасочных материалов и растворителей, в воздухе рабочей зоны, в атмосферном воздухе и объектах окружающей среды;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4) использования знаков безопасности, предназначенных для предупреждения работающего персонала о непосредственной или возможной опасности, запрещения, предписания или разрешения определенных действий, а также для информации о расположении средств, использование которых исключает или снижает воздействие опасных и вредных факторов;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5) предоставление работающему персоналу необходимых индивидуальных и коллективных средств защиты, спецодежды, средств личной гигиены, средств оказания первой медицинской помощи;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6) проверки знаний персонала, отработки способов предотвращения аварийных ситуаций и оснащения необходимыми средствами их ликвидации;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7) обеспечения безопасных условий труда и предоставление работающему персоналу, занятому на работах с лакокрасочными материалами и растворителями, компенсаций, установленных законодательством Республики Казахстан. </w:t>
      </w:r>
    </w:p>
    <w:bookmarkEnd w:id="99"/>
    <w:bookmarkStart w:name="z101" w:id="100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
4.8. Требования безопасности при утилизации и уничтожении </w:t>
      </w:r>
      <w:r>
        <w:br/>
      </w:r>
      <w:r>
        <w:rPr>
          <w:rFonts w:ascii="Times New Roman"/>
          <w:b/>
          <w:i w:val="false"/>
          <w:color w:val="000000"/>
        </w:rPr>
        <w:t xml:space="preserve">
отходов лакокрасочных материалов и растворителей </w:t>
      </w:r>
    </w:p>
    <w:bookmarkEnd w:id="100"/>
    <w:bookmarkStart w:name="z102" w:id="10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49. Утилизация и (или) уничтожение отходов лакокрасочных материалов и растворителей должна осуществляться в соответствии с </w:t>
      </w:r>
      <w:r>
        <w:rPr>
          <w:rFonts w:ascii="Times New Roman"/>
          <w:b w:val="false"/>
          <w:i w:val="false"/>
          <w:color w:val="000000"/>
          <w:sz w:val="28"/>
        </w:rPr>
        <w:t xml:space="preserve">законодательством </w:t>
      </w:r>
      <w:r>
        <w:rPr>
          <w:rFonts w:ascii="Times New Roman"/>
          <w:b w:val="false"/>
          <w:i w:val="false"/>
          <w:color w:val="000000"/>
          <w:sz w:val="28"/>
        </w:rPr>
        <w:t xml:space="preserve">Республики Казахстан с соблюдением мер, разработанных заявителем в паспорте безопасности химической продукции, направленных на минимизацию вредного воздействия этих процессов на жизнь и здоровье граждан, имущество физических и юридических лиц, государственное имущество, окружающую среду, жизнь и здоровье животных и растений. </w:t>
      </w:r>
    </w:p>
    <w:bookmarkEnd w:id="101"/>
    <w:bookmarkStart w:name="z103" w:id="10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50. При утилизации и (или) уничтожении отходов лакокрасочных материалов и растворителей концентрации вредных химических веществ в воздухе рабочей зоны, атмосферном воздухе, в воде открытых водоемов и в почве не должны превышать предельно допустимых концентраций. </w:t>
      </w:r>
    </w:p>
    <w:bookmarkEnd w:id="102"/>
    <w:bookmarkStart w:name="z104" w:id="10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51. Приоритетом является утилизация отходов лакокрасочных материалов и растворителей, связанная с их использованием для получения вторичного сырья, лакокрасочных материалов, растворителей или теплоносителей. </w:t>
      </w:r>
    </w:p>
    <w:bookmarkEnd w:id="103"/>
    <w:bookmarkStart w:name="z105" w:id="10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52. Утилизация должна проводиться путем промышленной переработки отходов лакокрасочного материала, растворителей и (или) во вторичную продукцию с различными потребительскими свойствами. </w:t>
      </w:r>
    </w:p>
    <w:bookmarkEnd w:id="104"/>
    <w:bookmarkStart w:name="z106" w:id="10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53. Отходы, которые невозможно утилизировать, подлежат уничтожению путем термического обезвреживания и (или) захоронения на полигонах по обезвреживанию и захоронению промышленных отходов. </w:t>
      </w:r>
    </w:p>
    <w:bookmarkEnd w:id="105"/>
    <w:bookmarkStart w:name="z107" w:id="106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54. При утилизации и уничтожении отходов лакокрасочных материалов и растворителей должны соблюдаться экологические, санитарно-эпидемиологические требования и обеспечиваться меры по безопасности охраны труда работающего персонала в соответствии с действующим </w:t>
      </w:r>
      <w:r>
        <w:rPr>
          <w:rFonts w:ascii="Times New Roman"/>
          <w:b w:val="false"/>
          <w:i w:val="false"/>
          <w:color w:val="000000"/>
          <w:sz w:val="28"/>
        </w:rPr>
        <w:t>законодательством</w:t>
      </w:r>
      <w:r>
        <w:rPr>
          <w:rFonts w:ascii="Times New Roman"/>
          <w:b w:val="false"/>
          <w:i w:val="false"/>
          <w:color w:val="000000"/>
          <w:sz w:val="28"/>
        </w:rPr>
        <w:t> </w:t>
      </w:r>
      <w:r>
        <w:rPr>
          <w:rFonts w:ascii="Times New Roman"/>
          <w:b w:val="false"/>
          <w:i w:val="false"/>
          <w:color w:val="000000"/>
          <w:sz w:val="28"/>
        </w:rPr>
        <w:t>Республики Казахстан</w:t>
      </w:r>
      <w:r>
        <w:rPr>
          <w:rFonts w:ascii="Times New Roman"/>
          <w:b w:val="false"/>
          <w:i w:val="false"/>
          <w:color w:val="000000"/>
          <w:sz w:val="28"/>
        </w:rPr>
        <w:t xml:space="preserve">. </w:t>
      </w:r>
    </w:p>
    <w:bookmarkEnd w:id="106"/>
    <w:bookmarkStart w:name="z108" w:id="107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
4.9. Оценка риска воздействия лакокрасочных материалов </w:t>
      </w:r>
      <w:r>
        <w:br/>
      </w:r>
      <w:r>
        <w:rPr>
          <w:rFonts w:ascii="Times New Roman"/>
          <w:b/>
          <w:i w:val="false"/>
          <w:color w:val="000000"/>
        </w:rPr>
        <w:t xml:space="preserve">
и растворителей на человека и окружающую среду </w:t>
      </w:r>
    </w:p>
    <w:bookmarkEnd w:id="107"/>
    <w:bookmarkStart w:name="z109" w:id="108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55. Лакокрасочные материалы и растворители являются опасными для жизни и здоровья граждан, имущества физических и юридических лиц, государственного имущества, окружающей среды, жизни и здоровья животных и растений. </w:t>
      </w:r>
    </w:p>
    <w:bookmarkEnd w:id="108"/>
    <w:bookmarkStart w:name="z110" w:id="10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56. Лакокрасочные материалы и растворители могут оказывать следующие виды вредного воздействия: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1) на человека - общетоксическое, раздражающее воздействие на кожу и органы зрения, сенсибилизирующее действие при попадании в организм через дыхательные пути или кожу, мутагенное действие, канцерогенное действие, эмбриотропное, гонадотропное и тератогенное действие;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2) на окружающую среду, животных и растения - острая и хроническая токсичность, мутагенное действие, канцерогенное действие, эмбриотропное, гонадотропное и тератогенное действие;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3) повреждение или разрушение имущества при взрыве, пожаре. </w:t>
      </w:r>
    </w:p>
    <w:bookmarkEnd w:id="109"/>
    <w:bookmarkStart w:name="z111" w:id="11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57. Оценка риска осуществляется производителем при разработке новых лакокрасочных материалов и растворителей и включает проведение следующих обязательных этапов: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1) определение источников и видов опасностей;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2) определение количественных показателей взрывоопасности, пожарной опасности и химической опасности;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3) определение вероятности возникновения опасности и оценивание воздействия вредных факторов на жизнь и здоровье граждан, имущество физических и юридических лиц, государственное имущество, на окружающую среду, на жизнь и здоровье животных и растений. </w:t>
      </w:r>
    </w:p>
    <w:bookmarkEnd w:id="110"/>
    <w:bookmarkStart w:name="z112" w:id="111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
4.10. Предупреждение действий, вводящих в заблуждение </w:t>
      </w:r>
      <w:r>
        <w:br/>
      </w:r>
      <w:r>
        <w:rPr>
          <w:rFonts w:ascii="Times New Roman"/>
          <w:b/>
          <w:i w:val="false"/>
          <w:color w:val="000000"/>
        </w:rPr>
        <w:t xml:space="preserve">
потребителей лакокрасочных материалов и растворителей </w:t>
      </w:r>
    </w:p>
    <w:bookmarkEnd w:id="111"/>
    <w:bookmarkStart w:name="z113" w:id="11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58. Информация для потребителя по хранению, перевозке, реализации или применению лакокрасочных материалов и растворителей представляется в виде предупредительной маркировки продукции, инструкции по безопасному использованию и паспорта безопасности химической продукции. </w:t>
      </w:r>
    </w:p>
    <w:bookmarkEnd w:id="112"/>
    <w:bookmarkStart w:name="z114" w:id="11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59. Минимальные требования к составу, содержанию и форме информации, включаемой в предупредительную маркировку и паспорт безопасности химической продукции, устанавливаются </w:t>
      </w:r>
      <w:r>
        <w:rPr>
          <w:rFonts w:ascii="Times New Roman"/>
          <w:b w:val="false"/>
          <w:i w:val="false"/>
          <w:color w:val="000000"/>
          <w:sz w:val="28"/>
        </w:rPr>
        <w:t xml:space="preserve">Законом </w:t>
      </w:r>
      <w:r>
        <w:rPr>
          <w:rFonts w:ascii="Times New Roman"/>
          <w:b w:val="false"/>
          <w:i w:val="false"/>
          <w:color w:val="000000"/>
          <w:sz w:val="28"/>
        </w:rPr>
        <w:t xml:space="preserve">Республики Казахстан </w:t>
      </w:r>
      <w:r>
        <w:rPr>
          <w:rFonts w:ascii="Times New Roman"/>
          <w:b w:val="false"/>
          <w:i w:val="false"/>
          <w:color w:val="000000"/>
          <w:sz w:val="28"/>
        </w:rPr>
        <w:t xml:space="preserve">"О безопасности химической продукции". </w:t>
      </w:r>
    </w:p>
    <w:bookmarkEnd w:id="113"/>
    <w:bookmarkStart w:name="z115" w:id="11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60. Предупредительная маркировка наносится на упаковку в виде текста, символов, пиктограмм. </w:t>
      </w:r>
    </w:p>
    <w:bookmarkEnd w:id="114"/>
    <w:bookmarkStart w:name="z116" w:id="11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61. Информация для потребителя должна быть четкой и легко читаемой.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Требования безопасности при хранении, перевозке, использовании и утилизации лакокрасочных материалов и растворителей должны быть выделены из остальной информации другим шрифтом, цветом или иным способом. </w:t>
      </w:r>
    </w:p>
    <w:bookmarkEnd w:id="115"/>
    <w:bookmarkStart w:name="z117" w:id="116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62. Средства нанесения информации должны обеспечивать стойкость маркировки при хранении, перевозке, реализации и применении продукции. </w:t>
      </w:r>
    </w:p>
    <w:bookmarkEnd w:id="116"/>
    <w:bookmarkStart w:name="z118" w:id="11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63. При небольших размерах единиц тары (до 0,3 кубических дециметров), на которые технически сложно поместить полностью необходимый текст, информация для потребителя размещается на листе-вкладыше, прилагаемом к каждой единице тары. </w:t>
      </w:r>
    </w:p>
    <w:bookmarkEnd w:id="117"/>
    <w:bookmarkStart w:name="z119" w:id="118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
4.11. Презумпция соответствия </w:t>
      </w:r>
    </w:p>
    <w:bookmarkEnd w:id="118"/>
    <w:bookmarkStart w:name="z120" w:id="11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64. Лакокрасочные материалы и растворители, изготовленные в соответствии с требованиями гармонизированных стандартов, считаются соответствующими требованиям настоящего технического регламента. </w:t>
      </w:r>
    </w:p>
    <w:bookmarkEnd w:id="119"/>
    <w:bookmarkStart w:name="z121" w:id="120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
5. Порядок подтверждения соответствия продукции </w:t>
      </w:r>
    </w:p>
    <w:bookmarkEnd w:id="120"/>
    <w:bookmarkStart w:name="z122" w:id="12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65. Идентификация лакокрасочных материалов и растворителей проводится при подтверждении соответствия и при осуществлении государственного контроля. </w:t>
      </w:r>
    </w:p>
    <w:bookmarkEnd w:id="121"/>
    <w:bookmarkStart w:name="z123" w:id="12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66. Идентификация лакокрасочных материалов и растворителей проводится с целью подтверждения: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1) соответствия продукции образцу и (или) ее описанию;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2) принадлежности лакокрасочного материала и растворителя к объекту технического регулирования и соответствию основному понятию, указанному в пункте 2 настоящего технического регламента;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3) принадлежности к марке, типу лакокрасочного материала и растворителя, партии продукции;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4) назначения лакокрасочного материала и растворителя. </w:t>
      </w:r>
    </w:p>
    <w:bookmarkEnd w:id="122"/>
    <w:bookmarkStart w:name="z124" w:id="12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67. Идентификация лакокрасочных материалов и растворителей осуществляется в два этапа: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1) при отборе проб образца лакокрасочного материала и растворителей;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2) при проведении испытаний. </w:t>
      </w:r>
    </w:p>
    <w:bookmarkEnd w:id="123"/>
    <w:bookmarkStart w:name="z125" w:id="12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68. Идентификация проводится по показателям и требованиям, которые в совокупности достаточны для подтверждения соответствия конкретного лакокрасочного материала и растворителя и (или) его описанию. В качестве описания лакокрасочного материала и растворителя могут быть использованы товаросопроводительная документация, договоры поставки, спецификации и другие документы, характеризующие продукцию. </w:t>
      </w:r>
    </w:p>
    <w:bookmarkEnd w:id="124"/>
    <w:bookmarkStart w:name="z126" w:id="12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69. </w:t>
      </w:r>
      <w:r>
        <w:rPr>
          <w:rFonts w:ascii="Times New Roman"/>
          <w:b w:val="false"/>
          <w:i w:val="false"/>
          <w:color w:val="ff0000"/>
          <w:sz w:val="28"/>
        </w:rPr>
        <w:t xml:space="preserve">Исключен постановлением Правительства РК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ff0000"/>
          <w:sz w:val="28"/>
        </w:rPr>
        <w:t xml:space="preserve">от 16.01.2009 </w:t>
      </w:r>
      <w:r>
        <w:rPr>
          <w:rFonts w:ascii="Times New Roman"/>
          <w:b w:val="false"/>
          <w:i w:val="false"/>
          <w:color w:val="000000"/>
          <w:sz w:val="28"/>
        </w:rPr>
        <w:t xml:space="preserve">N 13 </w:t>
      </w:r>
      <w:r>
        <w:rPr>
          <w:rFonts w:ascii="Times New Roman"/>
          <w:b w:val="false"/>
          <w:i w:val="false"/>
          <w:color w:val="ff0000"/>
          <w:sz w:val="28"/>
        </w:rPr>
        <w:t xml:space="preserve">). </w:t>
      </w:r>
    </w:p>
    <w:bookmarkEnd w:id="125"/>
    <w:bookmarkStart w:name="z127" w:id="126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70. Идентификация лакокрасочного материала и растворителя осуществляется по следующим признакам, параметрам и требованиям. </w:t>
      </w:r>
    </w:p>
    <w:bookmarkEnd w:id="126"/>
    <w:bookmarkStart w:name="z128" w:id="12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1) При отборе проб образца лакокрасочного материала и растворителя по: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маркировке на соответствие информации для потребителя;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наименованию лакокрасочного материала и растворителя на соответствие заявляемой продукции;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количеству единиц или объему партии;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соответствию упаковки. </w:t>
      </w:r>
    </w:p>
    <w:bookmarkEnd w:id="127"/>
    <w:bookmarkStart w:name="z129" w:id="128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2) При проведении испытаний по: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внешнему виду (агрегатному состоянию - жидкость, порошок, паста);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основному или действующему веществу в соответствии с требованиями, предусмотренными в главе 4 настоящего технического регламента;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показателям назначения. </w:t>
      </w:r>
    </w:p>
    <w:bookmarkEnd w:id="128"/>
    <w:bookmarkStart w:name="z130" w:id="12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71. При идентификации лакокрасочных материалов и растворителей должен быть использован один из следующих методов или их сочетание: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1) документальный;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2) визуальный;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3) инструментальный;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4) испытательный. </w:t>
      </w:r>
    </w:p>
    <w:bookmarkEnd w:id="129"/>
    <w:bookmarkStart w:name="z131" w:id="13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72. Идентификацию лакокрасочных материалов и растворителей проводят: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1) испытательные лаборатории;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2) органы по подтверждению соответствия;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3) уполномоченные органы при осуществлении контроля в пределах их компетенции. </w:t>
      </w:r>
    </w:p>
    <w:bookmarkEnd w:id="130"/>
    <w:bookmarkStart w:name="z132" w:id="13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73. Подтверждение соответствия лакокрасочных материалов и растворителей в соответствии с требованиями </w:t>
      </w:r>
      <w:r>
        <w:rPr>
          <w:rFonts w:ascii="Times New Roman"/>
          <w:b w:val="false"/>
          <w:i w:val="false"/>
          <w:color w:val="000000"/>
          <w:sz w:val="28"/>
        </w:rPr>
        <w:t xml:space="preserve">законодательства </w:t>
      </w:r>
      <w:r>
        <w:rPr>
          <w:rFonts w:ascii="Times New Roman"/>
          <w:b w:val="false"/>
          <w:i w:val="false"/>
          <w:color w:val="000000"/>
          <w:sz w:val="28"/>
        </w:rPr>
        <w:t>  </w:t>
      </w:r>
      <w:r>
        <w:rPr>
          <w:rFonts w:ascii="Times New Roman"/>
          <w:b w:val="false"/>
          <w:i w:val="false"/>
          <w:color w:val="000000"/>
          <w:sz w:val="28"/>
        </w:rPr>
        <w:t>Республики Казахстан</w:t>
      </w:r>
      <w:r>
        <w:rPr>
          <w:rFonts w:ascii="Times New Roman"/>
          <w:b w:val="false"/>
          <w:i w:val="false"/>
          <w:color w:val="000000"/>
          <w:sz w:val="28"/>
        </w:rPr>
        <w:t xml:space="preserve"> в области технического регулирования должно осуществляться заявителем в формах обязательной и добровольной сертификации. </w:t>
      </w:r>
    </w:p>
    <w:bookmarkEnd w:id="131"/>
    <w:bookmarkStart w:name="z133" w:id="13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74. Обязательное подтверждение соответствия лакокрасочных материалов и растворителей и декларация о соответствии проводится органом по подтверждению соответствия на основании договора с заявителем: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1) для лаков, эмалей, грунтовок и шпатлевок на конденсационных и полимеризационных смолах, лаков и эмалей на эфирах целлюлозы и олиф, предназначенных для розничной торговли;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2) для лакокрасочных материалов и растворителей, относящихся к сфере действия международных договоров, к которым присоединилась Республика Казахстан и в которых предусмотрена сертификация подобной продукции.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ff0000"/>
          <w:sz w:val="28"/>
        </w:rPr>
        <w:t xml:space="preserve">      Сноска. Пункт 74 с изменениями, внесенными постановлением Правительства РК от 16.01.2009 </w:t>
      </w:r>
      <w:r>
        <w:rPr>
          <w:rFonts w:ascii="Times New Roman"/>
          <w:b w:val="false"/>
          <w:i w:val="false"/>
          <w:color w:val="000000"/>
          <w:sz w:val="28"/>
        </w:rPr>
        <w:t xml:space="preserve">N 13 </w:t>
      </w:r>
      <w:r>
        <w:rPr>
          <w:rFonts w:ascii="Times New Roman"/>
          <w:b w:val="false"/>
          <w:i w:val="false"/>
          <w:color w:val="ff0000"/>
          <w:sz w:val="28"/>
        </w:rPr>
        <w:t xml:space="preserve">. </w:t>
      </w:r>
    </w:p>
    <w:bookmarkEnd w:id="132"/>
    <w:bookmarkStart w:name="z134" w:id="13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75. </w:t>
      </w:r>
      <w:r>
        <w:rPr>
          <w:rFonts w:ascii="Times New Roman"/>
          <w:b w:val="false"/>
          <w:i w:val="false"/>
          <w:color w:val="ff0000"/>
          <w:sz w:val="28"/>
        </w:rPr>
        <w:t xml:space="preserve">Исключен постановлением Правительства РК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ff0000"/>
          <w:sz w:val="28"/>
        </w:rPr>
        <w:t xml:space="preserve">от 16.01.2009 </w:t>
      </w:r>
      <w:r>
        <w:rPr>
          <w:rFonts w:ascii="Times New Roman"/>
          <w:b w:val="false"/>
          <w:i w:val="false"/>
          <w:color w:val="000000"/>
          <w:sz w:val="28"/>
        </w:rPr>
        <w:t xml:space="preserve">N 13 </w:t>
      </w:r>
      <w:r>
        <w:rPr>
          <w:rFonts w:ascii="Times New Roman"/>
          <w:b w:val="false"/>
          <w:i w:val="false"/>
          <w:color w:val="ff0000"/>
          <w:sz w:val="28"/>
        </w:rPr>
        <w:t xml:space="preserve">). </w:t>
      </w:r>
    </w:p>
    <w:bookmarkEnd w:id="133"/>
    <w:bookmarkStart w:name="z135" w:id="13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76. </w:t>
      </w:r>
      <w:r>
        <w:rPr>
          <w:rFonts w:ascii="Times New Roman"/>
          <w:b w:val="false"/>
          <w:i w:val="false"/>
          <w:color w:val="ff0000"/>
          <w:sz w:val="28"/>
        </w:rPr>
        <w:t xml:space="preserve">Исключен постановлением Правительства РК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ff0000"/>
          <w:sz w:val="28"/>
        </w:rPr>
        <w:t xml:space="preserve">от 16.01.2009 </w:t>
      </w:r>
      <w:r>
        <w:rPr>
          <w:rFonts w:ascii="Times New Roman"/>
          <w:b w:val="false"/>
          <w:i w:val="false"/>
          <w:color w:val="000000"/>
          <w:sz w:val="28"/>
        </w:rPr>
        <w:t xml:space="preserve">N 13 </w:t>
      </w:r>
      <w:r>
        <w:rPr>
          <w:rFonts w:ascii="Times New Roman"/>
          <w:b w:val="false"/>
          <w:i w:val="false"/>
          <w:color w:val="ff0000"/>
          <w:sz w:val="28"/>
        </w:rPr>
        <w:t xml:space="preserve">). </w:t>
      </w:r>
    </w:p>
    <w:bookmarkEnd w:id="134"/>
    <w:bookmarkStart w:name="z136" w:id="13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77. </w:t>
      </w:r>
      <w:r>
        <w:rPr>
          <w:rFonts w:ascii="Times New Roman"/>
          <w:b w:val="false"/>
          <w:i w:val="false"/>
          <w:color w:val="ff0000"/>
          <w:sz w:val="28"/>
        </w:rPr>
        <w:t xml:space="preserve">Исключен постановлением Правительства РК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ff0000"/>
          <w:sz w:val="28"/>
        </w:rPr>
        <w:t xml:space="preserve">от 16.01.2009 </w:t>
      </w:r>
      <w:r>
        <w:rPr>
          <w:rFonts w:ascii="Times New Roman"/>
          <w:b w:val="false"/>
          <w:i w:val="false"/>
          <w:color w:val="000000"/>
          <w:sz w:val="28"/>
        </w:rPr>
        <w:t xml:space="preserve">N 13 </w:t>
      </w:r>
      <w:r>
        <w:rPr>
          <w:rFonts w:ascii="Times New Roman"/>
          <w:b w:val="false"/>
          <w:i w:val="false"/>
          <w:color w:val="ff0000"/>
          <w:sz w:val="28"/>
        </w:rPr>
        <w:t xml:space="preserve">). </w:t>
      </w:r>
    </w:p>
    <w:bookmarkEnd w:id="135"/>
    <w:bookmarkStart w:name="z137" w:id="136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78. </w:t>
      </w:r>
      <w:r>
        <w:rPr>
          <w:rFonts w:ascii="Times New Roman"/>
          <w:b w:val="false"/>
          <w:i w:val="false"/>
          <w:color w:val="ff0000"/>
          <w:sz w:val="28"/>
        </w:rPr>
        <w:t xml:space="preserve">Исключен постановлением Правительства РК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</w:t>
      </w:r>
      <w:r>
        <w:rPr>
          <w:rFonts w:ascii="Times New Roman"/>
          <w:b w:val="false"/>
          <w:i w:val="false"/>
          <w:color w:val="ff0000"/>
          <w:sz w:val="28"/>
        </w:rPr>
        <w:t xml:space="preserve">от 16.01.2009 </w:t>
      </w:r>
      <w:r>
        <w:rPr>
          <w:rFonts w:ascii="Times New Roman"/>
          <w:b w:val="false"/>
          <w:i w:val="false"/>
          <w:color w:val="000000"/>
          <w:sz w:val="28"/>
        </w:rPr>
        <w:t xml:space="preserve">N 13 </w:t>
      </w:r>
      <w:r>
        <w:rPr>
          <w:rFonts w:ascii="Times New Roman"/>
          <w:b w:val="false"/>
          <w:i w:val="false"/>
          <w:color w:val="ff0000"/>
          <w:sz w:val="28"/>
        </w:rPr>
        <w:t xml:space="preserve">). </w:t>
      </w:r>
    </w:p>
    <w:bookmarkEnd w:id="136"/>
    <w:bookmarkStart w:name="z138" w:id="13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79. При установлении несоответствия лакокрасочных материалов и растворителей требованиям настоящего технического регламента отзыв продукции с рынка должен осуществляться в соответствии с требованиями законодательства Республики Казахстан. </w:t>
      </w:r>
    </w:p>
    <w:bookmarkEnd w:id="137"/>
    <w:bookmarkStart w:name="z139" w:id="138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
6. Перечень гармонизированных стандартов </w:t>
      </w:r>
    </w:p>
    <w:bookmarkEnd w:id="138"/>
    <w:bookmarkStart w:name="z140" w:id="13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80. Перечень гармонизированных стандартов: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1) ГОСТ 6806-73 "Материалы лакокрасочные. Метод определения эластичности пленки при изгибе";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2) ГОСТ 8420-74 "Материалы лакокрасочные. Методы определения условной вязкости";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3) ГОСТ 8832-76 "Материалы лакокрасочные. Методы получения лакокрасочного покрытия для испытания";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4) ГОСТ 9980.2-86 "Материалы лакокрасочные. Отбор проб для испытаний";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5) ГОСТ 9980.3-86 "Материалы лакокрасочные. Упаковка";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6) ГОСТ 9980.4-2002 "Материалы лакокрасочные. Маркировка";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7) ГОСТ 9980.5-86 "Материалы лакокрасочные. Транспортирование и хранение";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8) ГОСТ 14243-78 "Материалы лакокрасочные. Методы получения свободных пленок";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9) ГОСТ 15140-78 "Материалы лакокрасочные. Методы определения адгезии";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10) ГОСТ 17537-72 "Материалы лакокрасочные. Методы определения массовой доли летучих и нелетучих, твердых и пленкообразующих веществ";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11) ГОСТ 18299-72 "Материалы лакокрасочные. Метод определения предела прочности при растяжении, относительного удлинения при разрыве и модуля упругости";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12) ГОСТ 19007-73 "Материалы лакокрасочные. Метод определения времени и степени высыхания";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13) ГОСТ 19266-79 "Материалы лакокрасочные. Методы определения цвета";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14) ГОСТ 20811-75 "Материалы лакокрасочные. Методы испытания покрытий на истирание";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15) ГОСТ 21513-76 "Материалы лакокрасочные. Методы определения водо- и влагопоглощения лакокрасочной пленкой";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16) ГОСТ 21903-76 "Материалы лакокрасочные. Методы определения условной светостойкости";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17) ГОСТ 23955-80 "Материалы лакокрасочные. Методы определения кислотного числа";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18) ГОСТ 27037-86 "Материалы лакокрасочные. Метод определения устойчивости к воздействию переменных температур";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19) ГОСТ 27271-87 "Материалы лакокрасочные. Метод контроля срока годности";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20) ГОСТ 28513-90 "Материалы лакокрасочные. Метод определения плотности";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21) ГОСТ 29317-92 "Материалы лакокрасочные и сырье для них. Температуры и влажности для кондиционирования и испытания";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22) ГОСТ 29318-92 "Материалы лакокрасочные. Оценка совместимости продукта с окрашиваемой поверхностью. Методы испытания";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23) ГОСТ 29319-92 "Материалы лакокрасочные. Метод визуального сравнения цвета";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24) ГОСТ 896-69 "Материалы лакокрасочные. Фотоэлектрический метод определения блеска";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25) ГОСТ 4765-73 "Материалы лакокрасочные. Метод определения прочности при ударе";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26) ГОСТ 30991.4-2002 "Материалы лакокрасочные. Методы определения содержания металлов. Определение содержания "растворенной" сурьмы. Метод пламенной атомно-абсорбционной спектрометрии и спектрофотометрический метод с использованием родамина Б";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27) ГОСТ 30991.5-2002 "Материалы лакокрасочные. Методы определения содержания металлов. Определение содержания "растворенного" бария. Метод пламенной атомно-эмиссионной спектрометрии";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28) ГОСТ 30991.6-2002 "Материалы лакокрасочные. Методы определения содержания металлов. Определение содержания "растворенного" кадмия. Метод пламенной атомно-абсорбционной спектрометрии и полярографический метод";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29) ГОСТ 30991.7-2002 "Материалы лакокрасочные. Методы определения содержания металлов. Определение содержания "растворенного" шестивалентного хрома в пигментной части жидкой и порошковой красок. Спектрофотометрический метод с использованием дифенилкарбазида";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30) ГОСТ 30991.8-2002 "Материалы лакокрасочные. Методы определения содержания металлов. Определение содержания общего "растворенного" хрома в жидкой части краски. Метод пламенной атомно-абсорбционной спектрометрии";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31) ГОСТ 30991.9-2002 "Материалы лакокрасочные. Методы определения содержания металлов. Определение содержания "растворенной" ртути в пигментной части краски и в жидкой части водоразбавляемых красок. Метод беспламенной атомно-абсорбционной спектрометрии";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32) ГОСТ 30991.10-2002 "Материалы лакокрасочные. Методы определения содержания металлов. Определение содержания общего свинца. Метод пламенной атомно-абсорбционной спектрометрии";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33) ГОСТ 30991.11-2002 "Материалы лакокрасочные. Методы определения содержания металлов. Определение содержания общей ртути. Метод беспламенной атомно-абсорбционной спектрометрии";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34) ГОСТ 30991.1-2002 "Материалы лакокрасочные. Методы определения содержания металлов. Приготовление кислых экстрактов из лакокрасочных материалов в жидкой или порошковой формах";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35) ГОСТ 30991.2-2002 "Материалы лакокрасочные. Методы определения содержания металлов. Приготовление кислых экстрактов из высушенных лакокрасочных пленок";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36) ГОСТ 30991.3-2002 "Материалы лакокрасочные. Методы определения содержания металлов. Определение содержания "растворенного" свинца. Метод пламенной атомно-абсорбционной спектрометрии и спектрофотометрический метод с использованием дитизона". </w:t>
      </w:r>
    </w:p>
    <w:bookmarkEnd w:id="139"/>
    <w:bookmarkStart w:name="z141" w:id="140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
7. Сроки и условия введения в действие </w:t>
      </w:r>
    </w:p>
    <w:bookmarkEnd w:id="140"/>
    <w:bookmarkStart w:name="z142" w:id="14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81. Настоящий технический регламент вводится в действие по истечении шести месяцев со дня первого официального опубликования. </w:t>
      </w:r>
    </w:p>
    <w:bookmarkEnd w:id="141"/>
    <w:bookmarkStart w:name="z143" w:id="14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82. Документы в сфере подтверждения соответствия, выданные до введения в действие настоящего технического регламента считаются действительными до окончания срока их действия. </w:t>
      </w:r>
    </w:p>
    <w:bookmarkEnd w:id="142"/>
    <w:bookmarkStart w:name="z144" w:id="14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Приложение 1     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к техническому регламенту </w:t>
      </w:r>
    </w:p>
    <w:bookmarkEnd w:id="143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Перечень объектов технического регулирования </w:t>
      </w:r>
      <w:r>
        <w:br/>
      </w:r>
      <w:r>
        <w:rPr>
          <w:rFonts w:ascii="Times New Roman"/>
          <w:b/>
          <w:i w:val="false"/>
          <w:color w:val="000000"/>
        </w:rPr>
        <w:t xml:space="preserve">
на которые распространяются требования технического регламента </w:t>
      </w:r>
    </w:p>
    <w:bookmarkStart w:name="z145" w:id="14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1. Лаки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1) лаки на природных смолах канифольные;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2) лаки на природных смолах янтарные;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3) лаки на природных смолах битумные;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4) лаки на природных смолах масляные;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5) лаки на алкидных смолах глифталевые;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6) лаки на алкидных смолах пентафталевые;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7) лаки на алкидных смолах этриольные;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8) лаки на алкидных смолах алкидно-стирольные;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9) лаки на конденсационных смолах карбамидно- и меламиноформальдегидные;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10) лаки на конденсационных смолах эпоксидные и полиамидные;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11) лаки на конденсационных смолах кремнийорганические;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12) лаки на конденсационных смолах полиуретановые;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13) лаки на конденсационных смолах фенольные;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14) лаки на конденсационных смолах полиэфирные ненасыщенные;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15) лаки на конденсационных смолах полиэфирные насыщенные;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16) лаки на конденсационных смолах прочие;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17) лаки перхлорвиниловые;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18) лаки сополимерополивинилхлоридные;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19) лаки полиакриловые;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20) лаки сополимерополиакриловые;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21) лаки каучуковые;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22) лаки поливинилацетальные;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23) лаки фторопластовые;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24) лаки на прочих полимеризационных смолах;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25) лаки нитроцеллюлозные;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26) лаки нитроалкидные;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27) лаки нитроэпоксидные;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28) лаки этилцеллюлозные;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29) лаки на прочих эфирах целлюлозы;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30) лаки и политуры щелочные спиртовые;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31) лаки и политуры спиртовые;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32) лаки и политуры фенольные спиртовые;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33) лаки и политуры циклогексановые спиртовые. </w:t>
      </w:r>
    </w:p>
    <w:bookmarkEnd w:id="144"/>
    <w:bookmarkStart w:name="z146" w:id="14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2. Краски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1) краски поливинилацетатные водно-дисперсионные;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2) краски поливинилацетатные пониженной горючести водно-дисперсионные;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3) краски стиролбутадиеновые водно-дисперсионные;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4) краски на акрилатных латексах водно-дисперсионные;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5) краски на полимеризационных сополимерах водно-дисперсионные;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6) краски водно-дисперсионные прочие;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7) краски масляные густотертые;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8) краски масляные жидкотертые, готовые к применению;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9) краски полиэфирные порошковые;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10) краски порошковые прочие. </w:t>
      </w:r>
    </w:p>
    <w:bookmarkEnd w:id="145"/>
    <w:bookmarkStart w:name="z147" w:id="146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3. Эмали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1) эмали глифталевые;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2) эмали пентафталевые;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3) эмали полиэфирные;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4) эмали фенольные;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5) эмали эпоксидные;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6) эмали карбамидо- и меламидоформальдегидные;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7) эмали кремнийорганические и полиуретановые;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8) эмали на природных смолах;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9) эмали на прочих конденсационных смолах;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10) эмали перхлорвиниловые;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11) эмали сополимерополивинилхлоридные;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12) эмали полиакриловые;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13) эмали сополимерополиакриловые;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14) эмали каучуковые;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15) эмали поливинилацетальные;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16) эмали фторопластовые;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17) эмали на прочих полимеризационных смолах;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18) эмали нитроцеллюлозные;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19) эмали нитроалкидные;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20) эмали нитроэпоксидные;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21) эмали этилцеллюлозные;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22) эмали на прочих эфирах целлюлозы; </w:t>
      </w:r>
    </w:p>
    <w:bookmarkEnd w:id="146"/>
    <w:bookmarkStart w:name="z148" w:id="14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4. Грунтовки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1) грунтовки водно-дисперсионные стиролбутадиеновые;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2) грунтовки водно-дисперсионные прочие;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3) грунтовки глифталевые;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4) грунтовки пентафталевые;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5) грунтовки полиэфирные;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6) грунтовки фенольные;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7) грунтовки эпоксидные;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8) грунтовки карбамидо- и меламиноформальдегидные;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9) грунтовки кремнийорганические и полиуретановые;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10) грунтовки на природных смолах;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11) грунтовки на прочих конденсационных смолах;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12) грунтовки перхлорвиниловые;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13) грунтовки сополимерополивинилхлоридные;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14) грунтовки полиакриловые;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15) грунтовки сополимерополиакриловые;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16) грунтовки каучуковые;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17) грунтовки поливинилацетальные;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18) грунтовки фторопластовые;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19) грунтовки на прочих полимеризационных смолах;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20) грунтовки нитроцеллюлозные;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21) грунтовки нитроалкидные;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22) грунтовки нитроэпоксидные;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23) грунтовки этилцеллюлозные;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24) грунтовки на прочих эфирах целлюлозы; </w:t>
      </w:r>
    </w:p>
    <w:bookmarkEnd w:id="147"/>
    <w:bookmarkStart w:name="z149" w:id="148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5. Шпатлевки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1) шпатлевки водно-дисперсионные стиролбутадиеновые;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2) шпатлевки водно-дисперсионные прочие;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3) шпатлевки глифталевые;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4) шпатлевки пентафталевые;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5) шпатлевки полиэфирные;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6) шпатлевки фенольные;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7) шпатлевки эпоксидные;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8) шпатлевки карбамидо- и меламидоформальдегидные;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9) шпатлевки кремнийорганические и полиуретановые;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10) шпатлевки на природных смолах;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11) шпатлевки на прочих конденсационных смолах;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12) шпатлевки перхлорвиниловые;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13) шпатлевки сополимерополивинилхлоридные;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14) шпатлевки полиакриловые;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15) шпатлевки сополимерополиакриловые;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16) шпатлевки каучуковые;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17) шпатлевки поливинилацетальные;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18) шпатлевки фторопластовые;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19) шпатлевки на прочих полимеризационных смолах;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20) шпатлевки нитроцеллюлозные;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21) шпатлевки нитроалкидные;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22) шпатлевки нитроэпоксидные;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23) шпатлевки этилцеллюлозные;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24) шпатлевки на прочих эфирах целлюлозы; </w:t>
      </w:r>
    </w:p>
    <w:bookmarkEnd w:id="148"/>
    <w:bookmarkStart w:name="z150" w:id="14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6. Отходы лакокрасочные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7. Лакокрасочные материалы для розничной продажи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8. Лаки, эмали, грунтовки и шпатлевки на конденсационных смолах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9. Лаки и эмали на эфирах целлюлозы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10. Краски водно-дисперсионные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11. Краски и белила масляные тертые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12. Лаки, эмали, грунтовки и шпатлевки на полимеризационных смолах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13. Олифы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14. Растворители, разбавители, смывки и прочие материалы </w:t>
      </w:r>
    </w:p>
    <w:bookmarkEnd w:id="149"/>
    <w:bookmarkStart w:name="z151" w:id="15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Приложение 2     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к техническому регламенту </w:t>
      </w:r>
    </w:p>
    <w:bookmarkEnd w:id="150"/>
    <w:bookmarkStart w:name="z152" w:id="151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
Гигиенические нормативы и токсикологические показатели </w:t>
      </w:r>
      <w:r>
        <w:br/>
      </w:r>
      <w:r>
        <w:rPr>
          <w:rFonts w:ascii="Times New Roman"/>
          <w:b/>
          <w:i w:val="false"/>
          <w:color w:val="000000"/>
        </w:rPr>
        <w:t xml:space="preserve">
основных летучих органических соединений </w:t>
      </w:r>
    </w:p>
    <w:bookmarkEnd w:id="151"/>
    <w:bookmarkStart w:name="z153" w:id="152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
Гигиенические нормативы основных летучих органических </w:t>
      </w:r>
      <w:r>
        <w:br/>
      </w:r>
      <w:r>
        <w:rPr>
          <w:rFonts w:ascii="Times New Roman"/>
          <w:b/>
          <w:i w:val="false"/>
          <w:color w:val="000000"/>
        </w:rPr>
        <w:t xml:space="preserve">
соединений в воздухе рабочей зоны и в атмосферном воздухе </w:t>
      </w:r>
      <w:r>
        <w:br/>
      </w:r>
      <w:r>
        <w:rPr>
          <w:rFonts w:ascii="Times New Roman"/>
          <w:b/>
          <w:i w:val="false"/>
          <w:color w:val="000000"/>
        </w:rPr>
        <w:t xml:space="preserve">
населенных пунктов. </w:t>
      </w:r>
    </w:p>
    <w:bookmarkEnd w:id="15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                                                            Таблица 1 </w:t>
      </w:r>
    </w:p>
    <w:tbl>
      <w:tblPr>
        <w:tblW w:w="0" w:type="auto"/>
        <w:tblCellSpacing w:w="0" w:type="auto"/>
        <w:tblInd w:w="115" w:type="dxa"/>
        <w:tblBorders>
          <w:top w:val="single" w:color="cfcfcf" w:sz="5"/>
          <w:left w:val="single" w:color="cfcfcf" w:sz="5"/>
          <w:bottom w:val="single" w:color="cfcfcf" w:sz="5"/>
          <w:right w:val="single" w:color="cfcfcf" w:sz="5"/>
          <w:insideH w:val="none"/>
          <w:insideV w:val="none"/>
        </w:tblBorders>
      </w:tblPr>
      <w:tblGrid>
        <w:gridCol w:w="4733"/>
        <w:gridCol w:w="1393"/>
        <w:gridCol w:w="1453"/>
        <w:gridCol w:w="1913"/>
        <w:gridCol w:w="2093"/>
        <w:gridCol w:w="2093"/>
      </w:tblGrid>
      <w:tr>
        <w:trPr>
          <w:trHeight w:val="30" w:hRule="atLeast"/>
        </w:trPr>
        <w:tc>
          <w:tcPr>
            <w:tcW w:w="47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 xml:space="preserve">Летучие органические </w:t>
            </w:r>
            <w:r>
              <w:br/>
            </w:r>
            <w:r>
              <w:rPr>
                <w:rFonts w:ascii="Times New Roman"/>
                <w:b/>
                <w:i w:val="false"/>
                <w:color w:val="000000"/>
                <w:sz w:val="20"/>
              </w:rPr>
              <w:t>
соединения 
</w:t>
            </w:r>
          </w:p>
        </w:tc>
        <w:tc>
          <w:tcPr>
            <w:tcW w:w="13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 xml:space="preserve">Хими- </w:t>
            </w:r>
            <w:r>
              <w:br/>
            </w:r>
            <w:r>
              <w:rPr>
                <w:rFonts w:ascii="Times New Roman"/>
                <w:b/>
                <w:i w:val="false"/>
                <w:color w:val="000000"/>
                <w:sz w:val="20"/>
              </w:rPr>
              <w:t xml:space="preserve">
ческая </w:t>
            </w:r>
            <w:r>
              <w:br/>
            </w:r>
            <w:r>
              <w:rPr>
                <w:rFonts w:ascii="Times New Roman"/>
                <w:b/>
                <w:i w:val="false"/>
                <w:color w:val="000000"/>
                <w:sz w:val="20"/>
              </w:rPr>
              <w:t>
формула 
</w:t>
            </w:r>
          </w:p>
        </w:tc>
        <w:tc>
          <w:tcPr>
            <w:tcW w:w="14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 xml:space="preserve">Величина 
ПДК </w:t>
            </w:r>
            <w:r>
              <w:rPr>
                <w:rFonts w:ascii="Times New Roman"/>
                <w:b/>
                <w:i w:val="false"/>
                <w:color w:val="000000"/>
                <w:vertAlign w:val="subscript"/>
              </w:rPr>
              <w:t xml:space="preserve">р.з. </w:t>
            </w:r>
            <w:r>
              <w:rPr>
                <w:rFonts w:ascii="Times New Roman"/>
                <w:b/>
                <w:i w:val="false"/>
                <w:color w:val="000000"/>
                <w:sz w:val="20"/>
              </w:rPr>
              <w:t xml:space="preserve">, 
мг/м </w:t>
            </w:r>
            <w:r>
              <w:rPr>
                <w:rFonts w:ascii="Times New Roman"/>
                <w:b/>
                <w:i w:val="false"/>
                <w:color w:val="000000"/>
                <w:vertAlign w:val="superscript"/>
              </w:rPr>
              <w:t xml:space="preserve">3 </w:t>
            </w:r>
            <w:r>
              <w:rPr>
                <w:rFonts w:ascii="Times New Roman"/>
                <w:b/>
                <w:i w:val="false"/>
                <w:color w:val="000000"/>
                <w:sz w:val="20"/>
              </w:rPr>
              <w:t>
</w:t>
            </w:r>
          </w:p>
        </w:tc>
        <w:tc>
          <w:tcPr>
            <w:tcW w:w="19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 xml:space="preserve">Величина ПДК </w:t>
            </w:r>
            <w:r>
              <w:rPr>
                <w:rFonts w:ascii="Times New Roman"/>
                <w:b/>
                <w:i w:val="false"/>
                <w:color w:val="000000"/>
                <w:vertAlign w:val="subscript"/>
              </w:rPr>
              <w:t xml:space="preserve">атм.в. </w:t>
            </w:r>
            <w:r>
              <w:rPr>
                <w:rFonts w:ascii="Times New Roman"/>
                <w:b/>
                <w:i w:val="false"/>
                <w:color w:val="000000"/>
                <w:sz w:val="20"/>
              </w:rPr>
              <w:t xml:space="preserve">, мг/м </w:t>
            </w:r>
            <w:r>
              <w:rPr>
                <w:rFonts w:ascii="Times New Roman"/>
                <w:b/>
                <w:i w:val="false"/>
                <w:color w:val="000000"/>
                <w:vertAlign w:val="superscript"/>
              </w:rPr>
              <w:t xml:space="preserve">3 </w:t>
            </w:r>
            <w:r>
              <w:rPr>
                <w:rFonts w:ascii="Times New Roman"/>
                <w:b/>
                <w:i w:val="false"/>
                <w:color w:val="000000"/>
                <w:sz w:val="20"/>
              </w:rPr>
              <w:t>
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 xml:space="preserve">Лимити- </w:t>
            </w:r>
            <w:r>
              <w:br/>
            </w:r>
            <w:r>
              <w:rPr>
                <w:rFonts w:ascii="Times New Roman"/>
                <w:b/>
                <w:i w:val="false"/>
                <w:color w:val="000000"/>
                <w:sz w:val="20"/>
              </w:rPr>
              <w:t xml:space="preserve">
рующий </w:t>
            </w:r>
            <w:r>
              <w:br/>
            </w:r>
            <w:r>
              <w:rPr>
                <w:rFonts w:ascii="Times New Roman"/>
                <w:b/>
                <w:i w:val="false"/>
                <w:color w:val="000000"/>
                <w:sz w:val="20"/>
              </w:rPr>
              <w:t xml:space="preserve">
показатель </w:t>
            </w:r>
            <w:r>
              <w:br/>
            </w:r>
            <w:r>
              <w:rPr>
                <w:rFonts w:ascii="Times New Roman"/>
                <w:b/>
                <w:i w:val="false"/>
                <w:color w:val="000000"/>
                <w:sz w:val="20"/>
              </w:rPr>
              <w:t>
вредности 
</w:t>
            </w:r>
          </w:p>
        </w:tc>
      </w:tr>
      <w:tr>
        <w:trPr>
          <w:trHeight w:val="30" w:hRule="atLeast"/>
        </w:trPr>
        <w:tc>
          <w:tcPr>
            <w:tcW w:w="47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  <w:tc>
          <w:tcPr>
            <w:tcW w:w="13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  <w:tc>
          <w:tcPr>
            <w:tcW w:w="14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  <w:tc>
          <w:tcPr>
            <w:tcW w:w="19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 xml:space="preserve">Макси- </w:t>
            </w:r>
            <w:r>
              <w:br/>
            </w:r>
            <w:r>
              <w:rPr>
                <w:rFonts w:ascii="Times New Roman"/>
                <w:b/>
                <w:i w:val="false"/>
                <w:color w:val="000000"/>
                <w:sz w:val="20"/>
              </w:rPr>
              <w:t xml:space="preserve">
мально </w:t>
            </w:r>
            <w:r>
              <w:br/>
            </w:r>
            <w:r>
              <w:rPr>
                <w:rFonts w:ascii="Times New Roman"/>
                <w:b/>
                <w:i w:val="false"/>
                <w:color w:val="000000"/>
                <w:sz w:val="20"/>
              </w:rPr>
              <w:t>
разовая 
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 xml:space="preserve">Средне- </w:t>
            </w:r>
            <w:r>
              <w:br/>
            </w:r>
            <w:r>
              <w:rPr>
                <w:rFonts w:ascii="Times New Roman"/>
                <w:b/>
                <w:i w:val="false"/>
                <w:color w:val="000000"/>
                <w:sz w:val="20"/>
              </w:rPr>
              <w:t>
суточная 
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</w:tr>
      <w:tr>
        <w:trPr>
          <w:trHeight w:val="30" w:hRule="atLeast"/>
        </w:trPr>
        <w:tc>
          <w:tcPr>
            <w:tcW w:w="47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>1 
</w:t>
            </w:r>
          </w:p>
        </w:tc>
        <w:tc>
          <w:tcPr>
            <w:tcW w:w="13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>2 
</w:t>
            </w:r>
          </w:p>
        </w:tc>
        <w:tc>
          <w:tcPr>
            <w:tcW w:w="14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>3 
</w:t>
            </w:r>
          </w:p>
        </w:tc>
        <w:tc>
          <w:tcPr>
            <w:tcW w:w="19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>4 
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>5 
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>6 
</w:t>
            </w:r>
          </w:p>
        </w:tc>
      </w:tr>
      <w:tr>
        <w:trPr>
          <w:trHeight w:val="30" w:hRule="atLeast"/>
        </w:trPr>
        <w:tc>
          <w:tcPr>
            <w:tcW w:w="47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Амилацетат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(Пентилацетат) </w:t>
            </w:r>
          </w:p>
        </w:tc>
        <w:tc>
          <w:tcPr>
            <w:tcW w:w="13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7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14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О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2 </w:t>
            </w:r>
          </w:p>
        </w:tc>
        <w:tc>
          <w:tcPr>
            <w:tcW w:w="14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100 </w:t>
            </w:r>
          </w:p>
        </w:tc>
        <w:tc>
          <w:tcPr>
            <w:tcW w:w="19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0,1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рефл. </w:t>
            </w:r>
          </w:p>
        </w:tc>
      </w:tr>
      <w:tr>
        <w:trPr>
          <w:trHeight w:val="30" w:hRule="atLeast"/>
        </w:trPr>
        <w:tc>
          <w:tcPr>
            <w:tcW w:w="47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Амиловый спирт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(Пентан-1-ол) </w:t>
            </w:r>
          </w:p>
        </w:tc>
        <w:tc>
          <w:tcPr>
            <w:tcW w:w="13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5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12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О </w:t>
            </w:r>
          </w:p>
        </w:tc>
        <w:tc>
          <w:tcPr>
            <w:tcW w:w="14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10 </w:t>
            </w:r>
          </w:p>
        </w:tc>
        <w:tc>
          <w:tcPr>
            <w:tcW w:w="19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0,01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</w:tr>
      <w:tr>
        <w:trPr>
          <w:trHeight w:val="30" w:hRule="atLeast"/>
        </w:trPr>
        <w:tc>
          <w:tcPr>
            <w:tcW w:w="47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Ацетон (Пропан-2-он) </w:t>
            </w:r>
          </w:p>
        </w:tc>
        <w:tc>
          <w:tcPr>
            <w:tcW w:w="13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3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6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О </w:t>
            </w:r>
          </w:p>
        </w:tc>
        <w:tc>
          <w:tcPr>
            <w:tcW w:w="14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800/200 </w:t>
            </w:r>
          </w:p>
        </w:tc>
        <w:tc>
          <w:tcPr>
            <w:tcW w:w="19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0,35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рефл. </w:t>
            </w:r>
          </w:p>
        </w:tc>
      </w:tr>
      <w:tr>
        <w:trPr>
          <w:trHeight w:val="30" w:hRule="atLeast"/>
        </w:trPr>
        <w:tc>
          <w:tcPr>
            <w:tcW w:w="47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Бензин-растворитель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малосернистый </w:t>
            </w:r>
          </w:p>
        </w:tc>
        <w:tc>
          <w:tcPr>
            <w:tcW w:w="13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  <w:tc>
          <w:tcPr>
            <w:tcW w:w="14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300/100 </w:t>
            </w:r>
          </w:p>
        </w:tc>
        <w:tc>
          <w:tcPr>
            <w:tcW w:w="19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5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1,5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рефл.-рез. </w:t>
            </w:r>
          </w:p>
        </w:tc>
      </w:tr>
      <w:tr>
        <w:trPr>
          <w:trHeight w:val="30" w:hRule="atLeast"/>
        </w:trPr>
        <w:tc>
          <w:tcPr>
            <w:tcW w:w="47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Бутилацетат </w:t>
            </w:r>
          </w:p>
        </w:tc>
        <w:tc>
          <w:tcPr>
            <w:tcW w:w="13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6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12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О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2 </w:t>
            </w:r>
          </w:p>
        </w:tc>
        <w:tc>
          <w:tcPr>
            <w:tcW w:w="14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200/50 </w:t>
            </w:r>
          </w:p>
        </w:tc>
        <w:tc>
          <w:tcPr>
            <w:tcW w:w="19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0,1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рефл. </w:t>
            </w:r>
          </w:p>
        </w:tc>
      </w:tr>
      <w:tr>
        <w:trPr>
          <w:trHeight w:val="30" w:hRule="atLeast"/>
        </w:trPr>
        <w:tc>
          <w:tcPr>
            <w:tcW w:w="47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Бутиловый спирт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(Бутан-1-ол) </w:t>
            </w:r>
          </w:p>
        </w:tc>
        <w:tc>
          <w:tcPr>
            <w:tcW w:w="13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4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10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О </w:t>
            </w:r>
          </w:p>
        </w:tc>
        <w:tc>
          <w:tcPr>
            <w:tcW w:w="14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30/10 </w:t>
            </w:r>
          </w:p>
        </w:tc>
        <w:tc>
          <w:tcPr>
            <w:tcW w:w="19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0,1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рефл. </w:t>
            </w:r>
          </w:p>
        </w:tc>
      </w:tr>
      <w:tr>
        <w:trPr>
          <w:trHeight w:val="30" w:hRule="atLeast"/>
        </w:trPr>
        <w:tc>
          <w:tcPr>
            <w:tcW w:w="47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Бутилцеллозольв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(2-Бутоксиэтанол) </w:t>
            </w:r>
          </w:p>
        </w:tc>
        <w:tc>
          <w:tcPr>
            <w:tcW w:w="13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6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14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О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2 </w:t>
            </w:r>
          </w:p>
        </w:tc>
        <w:tc>
          <w:tcPr>
            <w:tcW w:w="14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5 </w:t>
            </w:r>
          </w:p>
        </w:tc>
        <w:tc>
          <w:tcPr>
            <w:tcW w:w="19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0,3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рефл.-рез. </w:t>
            </w:r>
          </w:p>
        </w:tc>
      </w:tr>
      <w:tr>
        <w:trPr>
          <w:trHeight w:val="30" w:hRule="atLeast"/>
        </w:trPr>
        <w:tc>
          <w:tcPr>
            <w:tcW w:w="47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Гексан </w:t>
            </w:r>
          </w:p>
        </w:tc>
        <w:tc>
          <w:tcPr>
            <w:tcW w:w="13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6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14 </w:t>
            </w:r>
          </w:p>
        </w:tc>
        <w:tc>
          <w:tcPr>
            <w:tcW w:w="14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900/300 </w:t>
            </w:r>
          </w:p>
        </w:tc>
        <w:tc>
          <w:tcPr>
            <w:tcW w:w="19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60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рефл. </w:t>
            </w:r>
          </w:p>
        </w:tc>
      </w:tr>
      <w:tr>
        <w:trPr>
          <w:trHeight w:val="30" w:hRule="atLeast"/>
        </w:trPr>
        <w:tc>
          <w:tcPr>
            <w:tcW w:w="47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Диацетоновый спирт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(4-Гидрокси-4метил-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пентан-2-он) </w:t>
            </w:r>
          </w:p>
        </w:tc>
        <w:tc>
          <w:tcPr>
            <w:tcW w:w="13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6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12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О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2 </w:t>
            </w:r>
          </w:p>
        </w:tc>
        <w:tc>
          <w:tcPr>
            <w:tcW w:w="14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100/- </w:t>
            </w:r>
          </w:p>
        </w:tc>
        <w:tc>
          <w:tcPr>
            <w:tcW w:w="19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0,3 (ОБУВ)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</w:tr>
      <w:tr>
        <w:trPr>
          <w:trHeight w:val="30" w:hRule="atLeast"/>
        </w:trPr>
        <w:tc>
          <w:tcPr>
            <w:tcW w:w="47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Диизобутикетон </w:t>
            </w:r>
          </w:p>
        </w:tc>
        <w:tc>
          <w:tcPr>
            <w:tcW w:w="13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9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18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О </w:t>
            </w:r>
          </w:p>
        </w:tc>
        <w:tc>
          <w:tcPr>
            <w:tcW w:w="14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290 </w:t>
            </w:r>
          </w:p>
        </w:tc>
        <w:tc>
          <w:tcPr>
            <w:tcW w:w="19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0,05 (ОБУВ)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</w:tr>
      <w:tr>
        <w:trPr>
          <w:trHeight w:val="30" w:hRule="atLeast"/>
        </w:trPr>
        <w:tc>
          <w:tcPr>
            <w:tcW w:w="47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(2,6-Диметилгептан-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4-он) </w:t>
            </w:r>
          </w:p>
        </w:tc>
        <w:tc>
          <w:tcPr>
            <w:tcW w:w="13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  <w:tc>
          <w:tcPr>
            <w:tcW w:w="14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  <w:tc>
          <w:tcPr>
            <w:tcW w:w="19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</w:tr>
      <w:tr>
        <w:trPr>
          <w:trHeight w:val="30" w:hRule="atLeast"/>
        </w:trPr>
        <w:tc>
          <w:tcPr>
            <w:tcW w:w="47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Диэтиленгликоль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(2,2 </w:t>
            </w:r>
            <w:r>
              <w:rPr>
                <w:rFonts w:ascii="Times New Roman"/>
                <w:b w:val="false"/>
                <w:i w:val="false"/>
                <w:color w:val="000000"/>
                <w:vertAlign w:val="superscript"/>
              </w:rPr>
              <w:t xml:space="preserve">,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-оксидиэтанол) </w:t>
            </w:r>
          </w:p>
        </w:tc>
        <w:tc>
          <w:tcPr>
            <w:tcW w:w="13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4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10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О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3 </w:t>
            </w:r>
          </w:p>
        </w:tc>
        <w:tc>
          <w:tcPr>
            <w:tcW w:w="14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10 </w:t>
            </w:r>
          </w:p>
        </w:tc>
        <w:tc>
          <w:tcPr>
            <w:tcW w:w="19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0,2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рез. </w:t>
            </w:r>
          </w:p>
        </w:tc>
      </w:tr>
      <w:tr>
        <w:trPr>
          <w:trHeight w:val="30" w:hRule="atLeast"/>
        </w:trPr>
        <w:tc>
          <w:tcPr>
            <w:tcW w:w="47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Диэтиловый эфир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(Этоксиэтан) </w:t>
            </w:r>
          </w:p>
        </w:tc>
        <w:tc>
          <w:tcPr>
            <w:tcW w:w="13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4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10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О </w:t>
            </w:r>
          </w:p>
        </w:tc>
        <w:tc>
          <w:tcPr>
            <w:tcW w:w="14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900/300 </w:t>
            </w:r>
          </w:p>
        </w:tc>
        <w:tc>
          <w:tcPr>
            <w:tcW w:w="19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0,6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рефл.-рез. </w:t>
            </w:r>
          </w:p>
        </w:tc>
      </w:tr>
      <w:tr>
        <w:trPr>
          <w:trHeight w:val="30" w:hRule="atLeast"/>
        </w:trPr>
        <w:tc>
          <w:tcPr>
            <w:tcW w:w="47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Изобутилацетат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(1-Метилпропилацетан) </w:t>
            </w:r>
          </w:p>
        </w:tc>
        <w:tc>
          <w:tcPr>
            <w:tcW w:w="13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6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12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О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2 </w:t>
            </w:r>
          </w:p>
        </w:tc>
        <w:tc>
          <w:tcPr>
            <w:tcW w:w="14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10 </w:t>
            </w:r>
          </w:p>
        </w:tc>
        <w:tc>
          <w:tcPr>
            <w:tcW w:w="19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0,1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рефл. </w:t>
            </w:r>
          </w:p>
        </w:tc>
      </w:tr>
      <w:tr>
        <w:trPr>
          <w:trHeight w:val="30" w:hRule="atLeast"/>
        </w:trPr>
        <w:tc>
          <w:tcPr>
            <w:tcW w:w="47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Изобутиловый спирт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(2-Метилпропан-1-ол) </w:t>
            </w:r>
          </w:p>
        </w:tc>
        <w:tc>
          <w:tcPr>
            <w:tcW w:w="13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4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10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О </w:t>
            </w:r>
          </w:p>
        </w:tc>
        <w:tc>
          <w:tcPr>
            <w:tcW w:w="14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10 </w:t>
            </w:r>
          </w:p>
        </w:tc>
        <w:tc>
          <w:tcPr>
            <w:tcW w:w="19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0,1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рефл. </w:t>
            </w:r>
          </w:p>
        </w:tc>
      </w:tr>
      <w:tr>
        <w:trPr>
          <w:trHeight w:val="30" w:hRule="atLeast"/>
        </w:trPr>
        <w:tc>
          <w:tcPr>
            <w:tcW w:w="47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Изопропиловый спирт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(Пропан-2-ол) </w:t>
            </w:r>
          </w:p>
        </w:tc>
        <w:tc>
          <w:tcPr>
            <w:tcW w:w="13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3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8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О </w:t>
            </w:r>
          </w:p>
        </w:tc>
        <w:tc>
          <w:tcPr>
            <w:tcW w:w="14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50/10 </w:t>
            </w:r>
          </w:p>
        </w:tc>
        <w:tc>
          <w:tcPr>
            <w:tcW w:w="19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0,6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рефл. </w:t>
            </w:r>
          </w:p>
        </w:tc>
      </w:tr>
      <w:tr>
        <w:trPr>
          <w:trHeight w:val="30" w:hRule="atLeast"/>
        </w:trPr>
        <w:tc>
          <w:tcPr>
            <w:tcW w:w="47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Ксилол (Диметилбензол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(смесь 2-, 3-,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4-изомеров) </w:t>
            </w:r>
          </w:p>
        </w:tc>
        <w:tc>
          <w:tcPr>
            <w:tcW w:w="13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8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10 </w:t>
            </w:r>
          </w:p>
        </w:tc>
        <w:tc>
          <w:tcPr>
            <w:tcW w:w="14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150/50 </w:t>
            </w:r>
          </w:p>
        </w:tc>
        <w:tc>
          <w:tcPr>
            <w:tcW w:w="19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0,2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рефл. </w:t>
            </w:r>
          </w:p>
        </w:tc>
      </w:tr>
      <w:tr>
        <w:trPr>
          <w:trHeight w:val="30" w:hRule="atLeast"/>
        </w:trPr>
        <w:tc>
          <w:tcPr>
            <w:tcW w:w="47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Метилацетат </w:t>
            </w:r>
          </w:p>
        </w:tc>
        <w:tc>
          <w:tcPr>
            <w:tcW w:w="13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3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6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О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2 </w:t>
            </w:r>
          </w:p>
        </w:tc>
        <w:tc>
          <w:tcPr>
            <w:tcW w:w="14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100 </w:t>
            </w:r>
          </w:p>
        </w:tc>
        <w:tc>
          <w:tcPr>
            <w:tcW w:w="19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0,07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рефл. </w:t>
            </w:r>
          </w:p>
        </w:tc>
      </w:tr>
      <w:tr>
        <w:trPr>
          <w:trHeight w:val="30" w:hRule="atLeast"/>
        </w:trPr>
        <w:tc>
          <w:tcPr>
            <w:tcW w:w="47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Нефрас-С-150/200 </w:t>
            </w:r>
          </w:p>
        </w:tc>
        <w:tc>
          <w:tcPr>
            <w:tcW w:w="13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  <w:tc>
          <w:tcPr>
            <w:tcW w:w="14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300/100 </w:t>
            </w:r>
          </w:p>
        </w:tc>
        <w:tc>
          <w:tcPr>
            <w:tcW w:w="19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</w:tr>
      <w:tr>
        <w:trPr>
          <w:trHeight w:val="30" w:hRule="atLeast"/>
        </w:trPr>
        <w:tc>
          <w:tcPr>
            <w:tcW w:w="47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Пентан </w:t>
            </w:r>
          </w:p>
        </w:tc>
        <w:tc>
          <w:tcPr>
            <w:tcW w:w="13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5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12 </w:t>
            </w:r>
          </w:p>
        </w:tc>
        <w:tc>
          <w:tcPr>
            <w:tcW w:w="14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900/300 </w:t>
            </w:r>
          </w:p>
        </w:tc>
        <w:tc>
          <w:tcPr>
            <w:tcW w:w="19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100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25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рефл.-рез. </w:t>
            </w:r>
          </w:p>
        </w:tc>
      </w:tr>
      <w:tr>
        <w:trPr>
          <w:trHeight w:val="30" w:hRule="atLeast"/>
        </w:trPr>
        <w:tc>
          <w:tcPr>
            <w:tcW w:w="47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Пропиловый спирт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(Пропан-1-ол) </w:t>
            </w:r>
          </w:p>
        </w:tc>
        <w:tc>
          <w:tcPr>
            <w:tcW w:w="13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3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8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О </w:t>
            </w:r>
          </w:p>
        </w:tc>
        <w:tc>
          <w:tcPr>
            <w:tcW w:w="14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30/10 </w:t>
            </w:r>
          </w:p>
        </w:tc>
        <w:tc>
          <w:tcPr>
            <w:tcW w:w="19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0,3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рефл. </w:t>
            </w:r>
          </w:p>
        </w:tc>
      </w:tr>
      <w:tr>
        <w:trPr>
          <w:trHeight w:val="30" w:hRule="atLeast"/>
        </w:trPr>
        <w:tc>
          <w:tcPr>
            <w:tcW w:w="47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Скипидар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(в пересчете на С) </w:t>
            </w:r>
          </w:p>
        </w:tc>
        <w:tc>
          <w:tcPr>
            <w:tcW w:w="13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  <w:tc>
          <w:tcPr>
            <w:tcW w:w="14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600/300 </w:t>
            </w:r>
          </w:p>
        </w:tc>
        <w:tc>
          <w:tcPr>
            <w:tcW w:w="19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2,0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1,0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рефл.-рез. </w:t>
            </w:r>
          </w:p>
        </w:tc>
      </w:tr>
      <w:tr>
        <w:trPr>
          <w:trHeight w:val="30" w:hRule="atLeast"/>
        </w:trPr>
        <w:tc>
          <w:tcPr>
            <w:tcW w:w="47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Сольвент нафта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(в пересчете на С) </w:t>
            </w:r>
          </w:p>
        </w:tc>
        <w:tc>
          <w:tcPr>
            <w:tcW w:w="13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  <w:tc>
          <w:tcPr>
            <w:tcW w:w="14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300/100 </w:t>
            </w:r>
          </w:p>
        </w:tc>
        <w:tc>
          <w:tcPr>
            <w:tcW w:w="19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0,2 (ОБУВ)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</w:tr>
      <w:tr>
        <w:trPr>
          <w:trHeight w:val="30" w:hRule="atLeast"/>
        </w:trPr>
        <w:tc>
          <w:tcPr>
            <w:tcW w:w="47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Толуол (Метилбензол) </w:t>
            </w:r>
          </w:p>
        </w:tc>
        <w:tc>
          <w:tcPr>
            <w:tcW w:w="13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7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8 </w:t>
            </w:r>
          </w:p>
        </w:tc>
        <w:tc>
          <w:tcPr>
            <w:tcW w:w="14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150/50 </w:t>
            </w:r>
          </w:p>
        </w:tc>
        <w:tc>
          <w:tcPr>
            <w:tcW w:w="19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0,6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рефл. </w:t>
            </w:r>
          </w:p>
        </w:tc>
      </w:tr>
      <w:tr>
        <w:trPr>
          <w:trHeight w:val="30" w:hRule="atLeast"/>
        </w:trPr>
        <w:tc>
          <w:tcPr>
            <w:tcW w:w="47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Тяжелый растворитель </w:t>
            </w:r>
          </w:p>
        </w:tc>
        <w:tc>
          <w:tcPr>
            <w:tcW w:w="13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  <w:tc>
          <w:tcPr>
            <w:tcW w:w="14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50 </w:t>
            </w:r>
          </w:p>
        </w:tc>
        <w:tc>
          <w:tcPr>
            <w:tcW w:w="19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</w:tr>
      <w:tr>
        <w:trPr>
          <w:trHeight w:val="30" w:hRule="atLeast"/>
        </w:trPr>
        <w:tc>
          <w:tcPr>
            <w:tcW w:w="47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Уайт-спирит </w:t>
            </w:r>
          </w:p>
        </w:tc>
        <w:tc>
          <w:tcPr>
            <w:tcW w:w="13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  <w:tc>
          <w:tcPr>
            <w:tcW w:w="14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900/300 </w:t>
            </w:r>
          </w:p>
        </w:tc>
        <w:tc>
          <w:tcPr>
            <w:tcW w:w="19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</w:tr>
      <w:tr>
        <w:trPr>
          <w:trHeight w:val="30" w:hRule="atLeast"/>
        </w:trPr>
        <w:tc>
          <w:tcPr>
            <w:tcW w:w="47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Формальдегид </w:t>
            </w:r>
          </w:p>
        </w:tc>
        <w:tc>
          <w:tcPr>
            <w:tcW w:w="13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СН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2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О </w:t>
            </w:r>
          </w:p>
        </w:tc>
        <w:tc>
          <w:tcPr>
            <w:tcW w:w="14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0,5 </w:t>
            </w:r>
          </w:p>
        </w:tc>
        <w:tc>
          <w:tcPr>
            <w:tcW w:w="19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0,035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0,003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рефл.-рез. </w:t>
            </w:r>
          </w:p>
        </w:tc>
      </w:tr>
      <w:tr>
        <w:trPr>
          <w:trHeight w:val="30" w:hRule="atLeast"/>
        </w:trPr>
        <w:tc>
          <w:tcPr>
            <w:tcW w:w="47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Циклогексан </w:t>
            </w:r>
          </w:p>
        </w:tc>
        <w:tc>
          <w:tcPr>
            <w:tcW w:w="13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6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12 </w:t>
            </w:r>
          </w:p>
        </w:tc>
        <w:tc>
          <w:tcPr>
            <w:tcW w:w="14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80 </w:t>
            </w:r>
          </w:p>
        </w:tc>
        <w:tc>
          <w:tcPr>
            <w:tcW w:w="19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1,4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рефл. </w:t>
            </w:r>
          </w:p>
        </w:tc>
      </w:tr>
      <w:tr>
        <w:trPr>
          <w:trHeight w:val="30" w:hRule="atLeast"/>
        </w:trPr>
        <w:tc>
          <w:tcPr>
            <w:tcW w:w="47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Циклогексанон </w:t>
            </w:r>
          </w:p>
        </w:tc>
        <w:tc>
          <w:tcPr>
            <w:tcW w:w="13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6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10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О </w:t>
            </w:r>
          </w:p>
        </w:tc>
        <w:tc>
          <w:tcPr>
            <w:tcW w:w="14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30/10 </w:t>
            </w:r>
          </w:p>
        </w:tc>
        <w:tc>
          <w:tcPr>
            <w:tcW w:w="19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0,04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рефл. </w:t>
            </w:r>
          </w:p>
        </w:tc>
      </w:tr>
      <w:tr>
        <w:trPr>
          <w:trHeight w:val="30" w:hRule="atLeast"/>
        </w:trPr>
        <w:tc>
          <w:tcPr>
            <w:tcW w:w="47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Амиловый спирт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(Пентан-1-ол) </w:t>
            </w:r>
          </w:p>
        </w:tc>
        <w:tc>
          <w:tcPr>
            <w:tcW w:w="13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5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12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О </w:t>
            </w:r>
          </w:p>
        </w:tc>
        <w:tc>
          <w:tcPr>
            <w:tcW w:w="14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10 </w:t>
            </w:r>
          </w:p>
        </w:tc>
        <w:tc>
          <w:tcPr>
            <w:tcW w:w="19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0,01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</w:tr>
      <w:tr>
        <w:trPr>
          <w:trHeight w:val="30" w:hRule="atLeast"/>
        </w:trPr>
        <w:tc>
          <w:tcPr>
            <w:tcW w:w="47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Этиленгликоль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(Этан-1,2-диол) </w:t>
            </w:r>
          </w:p>
        </w:tc>
        <w:tc>
          <w:tcPr>
            <w:tcW w:w="13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2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6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О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2 </w:t>
            </w:r>
          </w:p>
        </w:tc>
        <w:tc>
          <w:tcPr>
            <w:tcW w:w="14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10/5 </w:t>
            </w:r>
          </w:p>
        </w:tc>
        <w:tc>
          <w:tcPr>
            <w:tcW w:w="19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1,0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</w:tr>
      <w:tr>
        <w:trPr>
          <w:trHeight w:val="30" w:hRule="atLeast"/>
        </w:trPr>
        <w:tc>
          <w:tcPr>
            <w:tcW w:w="47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Этанол </w:t>
            </w:r>
          </w:p>
        </w:tc>
        <w:tc>
          <w:tcPr>
            <w:tcW w:w="13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2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6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О </w:t>
            </w:r>
          </w:p>
        </w:tc>
        <w:tc>
          <w:tcPr>
            <w:tcW w:w="14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2000/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1000 </w:t>
            </w:r>
          </w:p>
        </w:tc>
        <w:tc>
          <w:tcPr>
            <w:tcW w:w="19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5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рефл. </w:t>
            </w:r>
          </w:p>
        </w:tc>
      </w:tr>
      <w:tr>
        <w:trPr>
          <w:trHeight w:val="30" w:hRule="atLeast"/>
        </w:trPr>
        <w:tc>
          <w:tcPr>
            <w:tcW w:w="473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Этилцеллозольв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(2-этоксиэтанол) </w:t>
            </w:r>
          </w:p>
        </w:tc>
        <w:tc>
          <w:tcPr>
            <w:tcW w:w="13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4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10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О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2 </w:t>
            </w:r>
          </w:p>
        </w:tc>
        <w:tc>
          <w:tcPr>
            <w:tcW w:w="14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30/10 </w:t>
            </w:r>
          </w:p>
        </w:tc>
        <w:tc>
          <w:tcPr>
            <w:tcW w:w="19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0,7 (ОБУВ)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  <w:tc>
          <w:tcPr>
            <w:tcW w:w="20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</w:tr>
    </w:tbl>
    <w:p>
      <w:pPr>
        <w:spacing w:after="0"/>
        <w:ind w:left="0"/>
        <w:jc w:val="both"/>
      </w:pPr>
      <w:r>
        <w:rPr>
          <w:rFonts w:ascii="Times New Roman"/>
          <w:b/>
          <w:i w:val="false"/>
          <w:color w:val="000000"/>
          <w:sz w:val="28"/>
        </w:rPr>
        <w:t xml:space="preserve">      Примечания: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ПДК </w:t>
      </w:r>
      <w:r>
        <w:rPr>
          <w:rFonts w:ascii="Times New Roman"/>
          <w:b w:val="false"/>
          <w:i w:val="false"/>
          <w:color w:val="000000"/>
          <w:vertAlign w:val="subscript"/>
        </w:rPr>
        <w:t xml:space="preserve">рз </w:t>
      </w:r>
      <w:r>
        <w:rPr>
          <w:rFonts w:ascii="Times New Roman"/>
          <w:b w:val="false"/>
          <w:i w:val="false"/>
          <w:color w:val="000000"/>
          <w:sz w:val="28"/>
        </w:rPr>
        <w:t xml:space="preserve">- предельно допустимая концентрация летучего органического соединения в воздухе рабочей зоны, при которой у работающего персонала при ежедневном вдыхании в пределах 8 часов в течение всего трудового стажа не должно происходить заболеваний или отклонений в состоянии здоровья.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ПДК </w:t>
      </w:r>
      <w:r>
        <w:rPr>
          <w:rFonts w:ascii="Times New Roman"/>
          <w:b w:val="false"/>
          <w:i w:val="false"/>
          <w:color w:val="000000"/>
          <w:vertAlign w:val="subscript"/>
        </w:rPr>
        <w:t xml:space="preserve">атм.в. </w:t>
      </w:r>
      <w:r>
        <w:rPr>
          <w:rFonts w:ascii="Times New Roman"/>
          <w:b w:val="false"/>
          <w:i w:val="false"/>
          <w:color w:val="000000"/>
          <w:sz w:val="28"/>
        </w:rPr>
        <w:t xml:space="preserve">максимально разовая - предельно допустимая концентрация летучего органического соединения в воздухе населенных пунктов, которая не вызывает рефлекторных реакций в организме человека.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ПДК </w:t>
      </w:r>
      <w:r>
        <w:rPr>
          <w:rFonts w:ascii="Times New Roman"/>
          <w:b w:val="false"/>
          <w:i w:val="false"/>
          <w:color w:val="000000"/>
          <w:vertAlign w:val="subscript"/>
        </w:rPr>
        <w:t xml:space="preserve">атм.в. </w:t>
      </w:r>
      <w:r>
        <w:rPr>
          <w:rFonts w:ascii="Times New Roman"/>
          <w:b w:val="false"/>
          <w:i w:val="false"/>
          <w:color w:val="000000"/>
          <w:sz w:val="28"/>
        </w:rPr>
        <w:t xml:space="preserve">среднесуточная - среднесуточная предельно допустимая концентрация летучего органического соединения в воздухе населенных пунктов, которая не должна оказывать на человека прямого или косвенного вредного воздействия в условиях неопределенно долгого круглосуточного вдыхания.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ОБУВ - ориентировочно безопасный уровень воздействия летучего органического соединения в воздухе рабочей зоны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рез. - резорбтивный.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рефл. - рефлекторный.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рефл.-рез. - рефлекторно-резорбтивный </w:t>
      </w:r>
    </w:p>
    <w:bookmarkStart w:name="z154" w:id="153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
Гигиенические нормативы основных летучих органических соединений </w:t>
      </w:r>
      <w:r>
        <w:br/>
      </w:r>
      <w:r>
        <w:rPr>
          <w:rFonts w:ascii="Times New Roman"/>
          <w:b/>
          <w:i w:val="false"/>
          <w:color w:val="000000"/>
        </w:rPr>
        <w:t xml:space="preserve">
в воде водных объектов хозяйственно-питьевого и культурно-бытового </w:t>
      </w:r>
      <w:r>
        <w:br/>
      </w:r>
      <w:r>
        <w:rPr>
          <w:rFonts w:ascii="Times New Roman"/>
          <w:b/>
          <w:i w:val="false"/>
          <w:color w:val="000000"/>
        </w:rPr>
        <w:t xml:space="preserve">
водопользования и в почве </w:t>
      </w:r>
    </w:p>
    <w:bookmarkEnd w:id="15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                                                         Таблица 2 </w:t>
      </w:r>
    </w:p>
    <w:tbl>
      <w:tblPr>
        <w:tblW w:w="0" w:type="auto"/>
        <w:tblCellSpacing w:w="0" w:type="auto"/>
        <w:tblInd w:w="115" w:type="dxa"/>
        <w:tblBorders>
          <w:top w:val="single" w:color="cfcfcf" w:sz="5"/>
          <w:left w:val="single" w:color="cfcfcf" w:sz="5"/>
          <w:bottom w:val="single" w:color="cfcfcf" w:sz="5"/>
          <w:right w:val="single" w:color="cfcfcf" w:sz="5"/>
          <w:insideH w:val="none"/>
          <w:insideV w:val="none"/>
        </w:tblBorders>
      </w:tblPr>
      <w:tblGrid>
        <w:gridCol w:w="6793"/>
        <w:gridCol w:w="2753"/>
        <w:gridCol w:w="1693"/>
        <w:gridCol w:w="1713"/>
      </w:tblGrid>
      <w:tr>
        <w:trPr>
          <w:trHeight w:val="30" w:hRule="atLeast"/>
        </w:trPr>
        <w:tc>
          <w:tcPr>
            <w:tcW w:w="67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 xml:space="preserve">Летучие органические </w:t>
            </w:r>
            <w:r>
              <w:br/>
            </w:r>
            <w:r>
              <w:rPr>
                <w:rFonts w:ascii="Times New Roman"/>
                <w:b/>
                <w:i w:val="false"/>
                <w:color w:val="000000"/>
                <w:sz w:val="20"/>
              </w:rPr>
              <w:t>
соединения 
</w:t>
            </w:r>
          </w:p>
        </w:tc>
        <w:tc>
          <w:tcPr>
            <w:tcW w:w="27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>Химическая формула 
</w:t>
            </w:r>
          </w:p>
        </w:tc>
        <w:tc>
          <w:tcPr>
            <w:tcW w:w="16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 xml:space="preserve">ПДК </w:t>
            </w:r>
            <w:r>
              <w:rPr>
                <w:rFonts w:ascii="Times New Roman"/>
                <w:b/>
                <w:i w:val="false"/>
                <w:color w:val="000000"/>
                <w:vertAlign w:val="subscript"/>
              </w:rPr>
              <w:t xml:space="preserve">в </w:t>
            </w:r>
            <w:r>
              <w:rPr>
                <w:rFonts w:ascii="Times New Roman"/>
                <w:b/>
                <w:i w:val="false"/>
                <w:color w:val="000000"/>
                <w:sz w:val="20"/>
              </w:rPr>
              <w:t>, мг/л 
</w:t>
            </w:r>
          </w:p>
        </w:tc>
        <w:tc>
          <w:tcPr>
            <w:tcW w:w="17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 xml:space="preserve">ПДК </w:t>
            </w:r>
            <w:r>
              <w:rPr>
                <w:rFonts w:ascii="Times New Roman"/>
                <w:b/>
                <w:i w:val="false"/>
                <w:color w:val="000000"/>
                <w:vertAlign w:val="subscript"/>
              </w:rPr>
              <w:t xml:space="preserve">п </w:t>
            </w:r>
            <w:r>
              <w:rPr>
                <w:rFonts w:ascii="Times New Roman"/>
                <w:b/>
                <w:i w:val="false"/>
                <w:color w:val="000000"/>
                <w:sz w:val="20"/>
              </w:rPr>
              <w:t>, мг/кг 
</w:t>
            </w:r>
          </w:p>
        </w:tc>
      </w:tr>
      <w:tr>
        <w:trPr>
          <w:trHeight w:val="30" w:hRule="atLeast"/>
        </w:trPr>
        <w:tc>
          <w:tcPr>
            <w:tcW w:w="67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Ацетон (Пропан-2-он) </w:t>
            </w:r>
          </w:p>
        </w:tc>
        <w:tc>
          <w:tcPr>
            <w:tcW w:w="27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3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6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О </w:t>
            </w:r>
          </w:p>
        </w:tc>
        <w:tc>
          <w:tcPr>
            <w:tcW w:w="16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2,2 </w:t>
            </w:r>
          </w:p>
        </w:tc>
        <w:tc>
          <w:tcPr>
            <w:tcW w:w="17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</w:tr>
      <w:tr>
        <w:trPr>
          <w:trHeight w:val="30" w:hRule="atLeast"/>
        </w:trPr>
        <w:tc>
          <w:tcPr>
            <w:tcW w:w="67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Бутилацетат </w:t>
            </w:r>
          </w:p>
        </w:tc>
        <w:tc>
          <w:tcPr>
            <w:tcW w:w="27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6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12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О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2 </w:t>
            </w:r>
          </w:p>
        </w:tc>
        <w:tc>
          <w:tcPr>
            <w:tcW w:w="16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0,1 </w:t>
            </w:r>
          </w:p>
        </w:tc>
        <w:tc>
          <w:tcPr>
            <w:tcW w:w="17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</w:tr>
      <w:tr>
        <w:trPr>
          <w:trHeight w:val="30" w:hRule="atLeast"/>
        </w:trPr>
        <w:tc>
          <w:tcPr>
            <w:tcW w:w="67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Бутиловый спирт (Бутан-1-ол) </w:t>
            </w:r>
          </w:p>
        </w:tc>
        <w:tc>
          <w:tcPr>
            <w:tcW w:w="27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4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10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О </w:t>
            </w:r>
          </w:p>
        </w:tc>
        <w:tc>
          <w:tcPr>
            <w:tcW w:w="16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0,1 </w:t>
            </w:r>
          </w:p>
        </w:tc>
        <w:tc>
          <w:tcPr>
            <w:tcW w:w="17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</w:tr>
      <w:tr>
        <w:trPr>
          <w:trHeight w:val="30" w:hRule="atLeast"/>
        </w:trPr>
        <w:tc>
          <w:tcPr>
            <w:tcW w:w="67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Дифенилолпропан (2,2-(4,4'-Дигидроксифенил)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пропан) </w:t>
            </w:r>
          </w:p>
        </w:tc>
        <w:tc>
          <w:tcPr>
            <w:tcW w:w="27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C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15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H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16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О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2 </w:t>
            </w:r>
          </w:p>
        </w:tc>
        <w:tc>
          <w:tcPr>
            <w:tcW w:w="16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0,01 </w:t>
            </w:r>
          </w:p>
        </w:tc>
        <w:tc>
          <w:tcPr>
            <w:tcW w:w="17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</w:tr>
      <w:tr>
        <w:trPr>
          <w:trHeight w:val="30" w:hRule="atLeast"/>
        </w:trPr>
        <w:tc>
          <w:tcPr>
            <w:tcW w:w="67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Изобутиловый спирт (2-Метилпропан-1-ол) </w:t>
            </w:r>
          </w:p>
        </w:tc>
        <w:tc>
          <w:tcPr>
            <w:tcW w:w="27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4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10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О </w:t>
            </w:r>
          </w:p>
        </w:tc>
        <w:tc>
          <w:tcPr>
            <w:tcW w:w="16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0,15 </w:t>
            </w:r>
          </w:p>
        </w:tc>
        <w:tc>
          <w:tcPr>
            <w:tcW w:w="17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</w:tr>
      <w:tr>
        <w:trPr>
          <w:trHeight w:val="30" w:hRule="atLeast"/>
        </w:trPr>
        <w:tc>
          <w:tcPr>
            <w:tcW w:w="67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Изопропиловый спирт (Пропан-2-ол) </w:t>
            </w:r>
          </w:p>
        </w:tc>
        <w:tc>
          <w:tcPr>
            <w:tcW w:w="27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3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8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О </w:t>
            </w:r>
          </w:p>
        </w:tc>
        <w:tc>
          <w:tcPr>
            <w:tcW w:w="16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0,25 </w:t>
            </w:r>
          </w:p>
        </w:tc>
        <w:tc>
          <w:tcPr>
            <w:tcW w:w="17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</w:tr>
      <w:tr>
        <w:trPr>
          <w:trHeight w:val="30" w:hRule="atLeast"/>
        </w:trPr>
        <w:tc>
          <w:tcPr>
            <w:tcW w:w="67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Ксилол (диметилбензол (смесь 2-, 3-, 4-изомеров) </w:t>
            </w:r>
          </w:p>
        </w:tc>
        <w:tc>
          <w:tcPr>
            <w:tcW w:w="27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8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10 </w:t>
            </w:r>
          </w:p>
        </w:tc>
        <w:tc>
          <w:tcPr>
            <w:tcW w:w="16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0,05 </w:t>
            </w:r>
          </w:p>
        </w:tc>
        <w:tc>
          <w:tcPr>
            <w:tcW w:w="17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0,3 </w:t>
            </w:r>
          </w:p>
        </w:tc>
      </w:tr>
      <w:tr>
        <w:trPr>
          <w:trHeight w:val="30" w:hRule="atLeast"/>
        </w:trPr>
        <w:tc>
          <w:tcPr>
            <w:tcW w:w="67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Толуол (Метилбензол) </w:t>
            </w:r>
          </w:p>
        </w:tc>
        <w:tc>
          <w:tcPr>
            <w:tcW w:w="27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7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8 </w:t>
            </w:r>
          </w:p>
        </w:tc>
        <w:tc>
          <w:tcPr>
            <w:tcW w:w="16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0,5 </w:t>
            </w:r>
          </w:p>
        </w:tc>
        <w:tc>
          <w:tcPr>
            <w:tcW w:w="17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0,3 </w:t>
            </w:r>
          </w:p>
        </w:tc>
      </w:tr>
      <w:tr>
        <w:trPr>
          <w:trHeight w:val="30" w:hRule="atLeast"/>
        </w:trPr>
        <w:tc>
          <w:tcPr>
            <w:tcW w:w="67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Уайт-спирит </w:t>
            </w:r>
          </w:p>
        </w:tc>
        <w:tc>
          <w:tcPr>
            <w:tcW w:w="27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  <w:tc>
          <w:tcPr>
            <w:tcW w:w="16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0,1 </w:t>
            </w:r>
          </w:p>
        </w:tc>
        <w:tc>
          <w:tcPr>
            <w:tcW w:w="17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0,1 </w:t>
            </w:r>
          </w:p>
        </w:tc>
      </w:tr>
    </w:tbl>
    <w:p>
      <w:pPr>
        <w:spacing w:after="0"/>
        <w:ind w:left="0"/>
        <w:jc w:val="both"/>
      </w:pPr>
      <w:r>
        <w:rPr>
          <w:rFonts w:ascii="Times New Roman"/>
          <w:b/>
          <w:i w:val="false"/>
          <w:color w:val="000000"/>
          <w:sz w:val="28"/>
        </w:rPr>
        <w:t xml:space="preserve">      Примечания: 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      ПДК </w:t>
      </w:r>
      <w:r>
        <w:rPr>
          <w:rFonts w:ascii="Times New Roman"/>
          <w:b w:val="false"/>
          <w:i w:val="false"/>
          <w:color w:val="000000"/>
          <w:vertAlign w:val="subscript"/>
        </w:rPr>
        <w:t xml:space="preserve">В </w:t>
      </w:r>
      <w:r>
        <w:rPr>
          <w:rFonts w:ascii="Times New Roman"/>
          <w:b w:val="false"/>
          <w:i w:val="false"/>
          <w:color w:val="000000"/>
          <w:sz w:val="28"/>
        </w:rPr>
        <w:t xml:space="preserve">- предельно допустимая концентрация летучего органического соединения в воде водных объектов хозяйственно-питьевого и культурно-бытового водопользования.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ПДК </w:t>
      </w:r>
      <w:r>
        <w:rPr>
          <w:rFonts w:ascii="Times New Roman"/>
          <w:b w:val="false"/>
          <w:i w:val="false"/>
          <w:color w:val="000000"/>
          <w:vertAlign w:val="subscript"/>
        </w:rPr>
        <w:t xml:space="preserve">П </w:t>
      </w:r>
      <w:r>
        <w:rPr>
          <w:rFonts w:ascii="Times New Roman"/>
          <w:b w:val="false"/>
          <w:i w:val="false"/>
          <w:color w:val="000000"/>
          <w:sz w:val="28"/>
        </w:rPr>
        <w:t xml:space="preserve">- предельно допустимая концентрация летучего органического соединения в почве. </w:t>
      </w:r>
    </w:p>
    <w:bookmarkStart w:name="z155" w:id="154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
Гигиенические нормативы соединений тяжелых металлов </w:t>
      </w:r>
      <w:r>
        <w:br/>
      </w:r>
      <w:r>
        <w:rPr>
          <w:rFonts w:ascii="Times New Roman"/>
          <w:b/>
          <w:i w:val="false"/>
          <w:color w:val="000000"/>
        </w:rPr>
        <w:t xml:space="preserve">
в воздухе рабочей зоны и в атмосферном воздухе населенных пунктов </w:t>
      </w:r>
    </w:p>
    <w:bookmarkEnd w:id="15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                                                          Таблица 3 </w:t>
      </w:r>
    </w:p>
    <w:tbl>
      <w:tblPr>
        <w:tblW w:w="0" w:type="auto"/>
        <w:tblCellSpacing w:w="0" w:type="auto"/>
        <w:tblInd w:w="115" w:type="dxa"/>
        <w:tblBorders>
          <w:top w:val="single" w:color="cfcfcf" w:sz="5"/>
          <w:left w:val="single" w:color="cfcfcf" w:sz="5"/>
          <w:bottom w:val="single" w:color="cfcfcf" w:sz="5"/>
          <w:right w:val="single" w:color="cfcfcf" w:sz="5"/>
          <w:insideH w:val="none"/>
          <w:insideV w:val="none"/>
        </w:tblBorders>
      </w:tblPr>
      <w:tblGrid>
        <w:gridCol w:w="5193"/>
        <w:gridCol w:w="3013"/>
        <w:gridCol w:w="2753"/>
        <w:gridCol w:w="2213"/>
      </w:tblGrid>
      <w:tr>
        <w:trPr>
          <w:trHeight w:val="30" w:hRule="atLeast"/>
        </w:trPr>
        <w:tc>
          <w:tcPr>
            <w:tcW w:w="51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>Соединения, содержащие тяжелые металлы 
</w:t>
            </w:r>
          </w:p>
        </w:tc>
        <w:tc>
          <w:tcPr>
            <w:tcW w:w="30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 xml:space="preserve">ПДК </w:t>
            </w:r>
            <w:r>
              <w:rPr>
                <w:rFonts w:ascii="Times New Roman"/>
                <w:b/>
                <w:i w:val="false"/>
                <w:color w:val="000000"/>
                <w:vertAlign w:val="subscript"/>
              </w:rPr>
              <w:t xml:space="preserve">р.з. </w:t>
            </w:r>
            <w:r>
              <w:rPr>
                <w:rFonts w:ascii="Times New Roman"/>
                <w:b/>
                <w:i w:val="false"/>
                <w:color w:val="000000"/>
                <w:sz w:val="20"/>
              </w:rPr>
              <w:t xml:space="preserve">, мг/м </w:t>
            </w:r>
            <w:r>
              <w:rPr>
                <w:rFonts w:ascii="Times New Roman"/>
                <w:b/>
                <w:i w:val="false"/>
                <w:color w:val="000000"/>
                <w:vertAlign w:val="superscript"/>
              </w:rPr>
              <w:t xml:space="preserve">3 </w:t>
            </w:r>
            <w:r>
              <w:rPr>
                <w:rFonts w:ascii="Times New Roman"/>
                <w:b/>
                <w:i w:val="false"/>
                <w:color w:val="000000"/>
                <w:sz w:val="20"/>
              </w:rPr>
              <w:t>
</w:t>
            </w:r>
          </w:p>
        </w:tc>
        <w:tc>
          <w:tcPr>
            <w:tcW w:w="27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 xml:space="preserve">ПДК </w:t>
            </w:r>
            <w:r>
              <w:rPr>
                <w:rFonts w:ascii="Times New Roman"/>
                <w:b/>
                <w:i w:val="false"/>
                <w:color w:val="000000"/>
                <w:vertAlign w:val="subscript"/>
              </w:rPr>
              <w:t xml:space="preserve">атм. </w:t>
            </w:r>
            <w:r>
              <w:rPr>
                <w:rFonts w:ascii="Times New Roman"/>
                <w:b/>
                <w:i w:val="false"/>
                <w:color w:val="000000"/>
                <w:sz w:val="20"/>
              </w:rPr>
              <w:t xml:space="preserve">, мг/м </w:t>
            </w:r>
            <w:r>
              <w:rPr>
                <w:rFonts w:ascii="Times New Roman"/>
                <w:b/>
                <w:i w:val="false"/>
                <w:color w:val="000000"/>
                <w:vertAlign w:val="superscript"/>
              </w:rPr>
              <w:t xml:space="preserve">3 </w:t>
            </w:r>
            <w:r>
              <w:rPr>
                <w:rFonts w:ascii="Times New Roman"/>
                <w:b/>
                <w:i w:val="false"/>
                <w:color w:val="000000"/>
                <w:sz w:val="20"/>
              </w:rPr>
              <w:t>
</w:t>
            </w:r>
          </w:p>
        </w:tc>
      </w:tr>
      <w:tr>
        <w:trPr>
          <w:trHeight w:val="30" w:hRule="atLeast"/>
        </w:trPr>
        <w:tc>
          <w:tcPr>
            <w:tcW w:w="51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>Максимально разовая 
</w:t>
            </w:r>
          </w:p>
        </w:tc>
        <w:tc>
          <w:tcPr>
            <w:tcW w:w="30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 xml:space="preserve">средне- </w:t>
            </w:r>
            <w:r>
              <w:br/>
            </w:r>
            <w:r>
              <w:rPr>
                <w:rFonts w:ascii="Times New Roman"/>
                <w:b/>
                <w:i w:val="false"/>
                <w:color w:val="000000"/>
                <w:sz w:val="20"/>
              </w:rPr>
              <w:t>
суточная 
</w:t>
            </w:r>
          </w:p>
        </w:tc>
      </w:tr>
      <w:tr>
        <w:trPr>
          <w:trHeight w:val="30" w:hRule="atLeast"/>
        </w:trPr>
        <w:tc>
          <w:tcPr>
            <w:tcW w:w="51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Хром (VI) триоксид </w:t>
            </w:r>
          </w:p>
        </w:tc>
        <w:tc>
          <w:tcPr>
            <w:tcW w:w="30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0,03/0,01 </w:t>
            </w:r>
          </w:p>
        </w:tc>
        <w:tc>
          <w:tcPr>
            <w:tcW w:w="27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>- 
</w:t>
            </w:r>
          </w:p>
        </w:tc>
        <w:tc>
          <w:tcPr>
            <w:tcW w:w="22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0,0015 </w:t>
            </w:r>
          </w:p>
        </w:tc>
      </w:tr>
      <w:tr>
        <w:trPr>
          <w:trHeight w:val="30" w:hRule="atLeast"/>
        </w:trPr>
        <w:tc>
          <w:tcPr>
            <w:tcW w:w="51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Свинец и его неорганические соединения (в пересчете на свинец) </w:t>
            </w:r>
          </w:p>
        </w:tc>
        <w:tc>
          <w:tcPr>
            <w:tcW w:w="30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-/0,05 </w:t>
            </w:r>
          </w:p>
        </w:tc>
        <w:tc>
          <w:tcPr>
            <w:tcW w:w="27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0,001 </w:t>
            </w:r>
          </w:p>
        </w:tc>
        <w:tc>
          <w:tcPr>
            <w:tcW w:w="22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0,0003 </w:t>
            </w:r>
          </w:p>
        </w:tc>
      </w:tr>
      <w:tr>
        <w:trPr>
          <w:trHeight w:val="30" w:hRule="atLeast"/>
        </w:trPr>
        <w:tc>
          <w:tcPr>
            <w:tcW w:w="519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Кадмий и его неорганические соединения </w:t>
            </w:r>
          </w:p>
        </w:tc>
        <w:tc>
          <w:tcPr>
            <w:tcW w:w="30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0,05/0,01 </w:t>
            </w:r>
          </w:p>
        </w:tc>
        <w:tc>
          <w:tcPr>
            <w:tcW w:w="275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both"/>
            </w:pPr>
            <w:r>
              <w:rPr>
                <w:rFonts w:ascii="Times New Roman"/>
                <w:b/>
                <w:i w:val="false"/>
                <w:color w:val="000000"/>
                <w:sz w:val="20"/>
              </w:rPr>
              <w:t>- 
</w:t>
            </w:r>
          </w:p>
        </w:tc>
        <w:tc>
          <w:tcPr>
            <w:tcW w:w="221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0,0003 </w:t>
            </w:r>
          </w:p>
        </w:tc>
      </w:tr>
    </w:tbl>
    <w:p>
      <w:pPr>
        <w:spacing w:after="0"/>
        <w:ind w:left="0"/>
        <w:jc w:val="both"/>
      </w:pPr>
      <w:r>
        <w:rPr>
          <w:rFonts w:ascii="Times New Roman"/>
          <w:b/>
          <w:i w:val="false"/>
          <w:color w:val="000000"/>
          <w:sz w:val="28"/>
        </w:rPr>
        <w:t xml:space="preserve">      Примечания: 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      ПДК </w:t>
      </w:r>
      <w:r>
        <w:rPr>
          <w:rFonts w:ascii="Times New Roman"/>
          <w:b w:val="false"/>
          <w:i w:val="false"/>
          <w:color w:val="000000"/>
          <w:vertAlign w:val="subscript"/>
        </w:rPr>
        <w:t xml:space="preserve">р.з. </w:t>
      </w:r>
      <w:r>
        <w:rPr>
          <w:rFonts w:ascii="Times New Roman"/>
          <w:b w:val="false"/>
          <w:i w:val="false"/>
          <w:color w:val="000000"/>
          <w:sz w:val="28"/>
        </w:rPr>
        <w:t xml:space="preserve">- предельно допустимая концентрация летучего органического соединения в воздухе рабочей зоны, при которой у работающего персонала при ежедневном вдыхании в пределах 8 часов в течение всего трудового стажа не должно происходить заболеваний или отклонений в состоянии здоровья.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ПДК </w:t>
      </w:r>
      <w:r>
        <w:rPr>
          <w:rFonts w:ascii="Times New Roman"/>
          <w:b w:val="false"/>
          <w:i w:val="false"/>
          <w:color w:val="000000"/>
          <w:vertAlign w:val="subscript"/>
        </w:rPr>
        <w:t xml:space="preserve">атм.в. </w:t>
      </w:r>
      <w:r>
        <w:rPr>
          <w:rFonts w:ascii="Times New Roman"/>
          <w:b w:val="false"/>
          <w:i w:val="false"/>
          <w:color w:val="000000"/>
          <w:sz w:val="28"/>
        </w:rPr>
        <w:t xml:space="preserve">максимально разовая - предельно допустимая концентрация летучего органического соединения в воздухе населенных пунктов, которая не вызывает рефлекторных реакций в организме человека.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ПДК </w:t>
      </w:r>
      <w:r>
        <w:rPr>
          <w:rFonts w:ascii="Times New Roman"/>
          <w:b w:val="false"/>
          <w:i w:val="false"/>
          <w:color w:val="000000"/>
          <w:vertAlign w:val="subscript"/>
        </w:rPr>
        <w:t xml:space="preserve">атм.в. </w:t>
      </w:r>
      <w:r>
        <w:rPr>
          <w:rFonts w:ascii="Times New Roman"/>
          <w:b w:val="false"/>
          <w:i w:val="false"/>
          <w:color w:val="000000"/>
          <w:sz w:val="28"/>
        </w:rPr>
        <w:t xml:space="preserve">среднесуточная - среднесуточная предельно допустимая концентрация летучего органического соединения в воздухе населенных пунктов, которая не должна оказывать на человека прямого или косвенного вредного воздействия в условиях неопределенно долгого круглосуточного вдыхания. </w:t>
      </w:r>
    </w:p>
    <w:bookmarkStart w:name="z156" w:id="155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
Токсилогические показатели основных летучих органических соединений, </w:t>
      </w:r>
      <w:r>
        <w:br/>
      </w:r>
      <w:r>
        <w:rPr>
          <w:rFonts w:ascii="Times New Roman"/>
          <w:b/>
          <w:i w:val="false"/>
          <w:color w:val="000000"/>
        </w:rPr>
        <w:t xml:space="preserve">
входящих в состав лакокрасочных материалов </w:t>
      </w:r>
    </w:p>
    <w:bookmarkEnd w:id="15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                                                                      Таблица 4 </w:t>
      </w:r>
    </w:p>
    <w:tbl>
      <w:tblPr>
        <w:tblW w:w="0" w:type="auto"/>
        <w:tblCellSpacing w:w="0" w:type="auto"/>
        <w:tblInd w:w="115" w:type="dxa"/>
        <w:tblBorders>
          <w:top w:val="single" w:color="cfcfcf" w:sz="5"/>
          <w:left w:val="single" w:color="cfcfcf" w:sz="5"/>
          <w:bottom w:val="single" w:color="cfcfcf" w:sz="5"/>
          <w:right w:val="single" w:color="cfcfcf" w:sz="5"/>
          <w:insideH w:val="none"/>
          <w:insideV w:val="none"/>
        </w:tblBorders>
      </w:tblPr>
      <w:tblGrid>
        <w:gridCol w:w="1186"/>
        <w:gridCol w:w="1026"/>
        <w:gridCol w:w="1119"/>
        <w:gridCol w:w="1487"/>
        <w:gridCol w:w="938"/>
        <w:gridCol w:w="919"/>
        <w:gridCol w:w="919"/>
        <w:gridCol w:w="919"/>
        <w:gridCol w:w="919"/>
        <w:gridCol w:w="868"/>
        <w:gridCol w:w="983"/>
        <w:gridCol w:w="926"/>
        <w:gridCol w:w="926"/>
        <w:gridCol w:w="945"/>
      </w:tblGrid>
      <w:tr>
        <w:trPr>
          <w:trHeight w:val="30" w:hRule="atLeast"/>
        </w:trPr>
        <w:tc>
          <w:tcPr>
            <w:tcW w:w="1186" w:type="dxa"/>
            <w:vMerge w:val="restart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Лету-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чие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орга-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ниче-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ские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сое-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дине-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ния </w:t>
            </w:r>
          </w:p>
        </w:tc>
        <w:tc>
          <w:tcPr>
            <w:tcW w:w="1026" w:type="dxa"/>
            <w:vMerge w:val="restart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Хими-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чес-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кая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фор-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мула </w:t>
            </w:r>
          </w:p>
        </w:tc>
        <w:tc>
          <w:tcPr>
            <w:tcW w:w="0" w:type="auto"/>
            <w:gridSpan w:val="2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Показатели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острой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токсичности </w:t>
            </w:r>
          </w:p>
        </w:tc>
        <w:tc>
          <w:tcPr>
            <w:tcW w:w="0" w:type="auto"/>
            <w:gridSpan w:val="10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Опасность для здоровья человека при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непосредственном контакте </w:t>
            </w:r>
          </w:p>
        </w:tc>
      </w:tr>
      <w:tr>
        <w:trPr>
          <w:trHeight w:val="30" w:hRule="atLeast"/>
        </w:trPr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0" w:type="auto"/>
            <w:vMerge/>
            <w:tcBorders>
              <w:top w:val="nil"/>
              <w:left w:val="single" w:color="cfcfcf" w:sz="5"/>
              <w:bottom w:val="single" w:color="cfcfcf" w:sz="5"/>
              <w:right w:val="single" w:color="cfcfcf" w:sz="5"/>
            </w:tcBorders>
          </w:tcPr>
          <w:p/>
        </w:tc>
        <w:tc>
          <w:tcPr>
            <w:tcW w:w="11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DL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50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, мг/кг </w:t>
            </w:r>
          </w:p>
        </w:tc>
        <w:tc>
          <w:tcPr>
            <w:tcW w:w="148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CL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50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, мг/м </w:t>
            </w:r>
            <w:r>
              <w:rPr>
                <w:rFonts w:ascii="Times New Roman"/>
                <w:b w:val="false"/>
                <w:i w:val="false"/>
                <w:color w:val="000000"/>
                <w:vertAlign w:val="superscript"/>
              </w:rPr>
              <w:t xml:space="preserve">3 </w:t>
            </w:r>
          </w:p>
        </w:tc>
        <w:tc>
          <w:tcPr>
            <w:tcW w:w="93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Ку-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му-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ля-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тив-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ность </w:t>
            </w:r>
          </w:p>
        </w:tc>
        <w:tc>
          <w:tcPr>
            <w:tcW w:w="9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Раздра-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жающее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действие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на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кожу </w:t>
            </w:r>
          </w:p>
        </w:tc>
        <w:tc>
          <w:tcPr>
            <w:tcW w:w="9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Раз-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дра-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жаю-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щее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дей-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ствие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на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гла-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за </w:t>
            </w:r>
          </w:p>
        </w:tc>
        <w:tc>
          <w:tcPr>
            <w:tcW w:w="9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Кож-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но-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ре-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зорб-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тив-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ное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дей-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ствие </w:t>
            </w:r>
          </w:p>
        </w:tc>
        <w:tc>
          <w:tcPr>
            <w:tcW w:w="9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Сен-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сибили-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зирую-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щее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дей-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ствие </w:t>
            </w:r>
          </w:p>
        </w:tc>
        <w:tc>
          <w:tcPr>
            <w:tcW w:w="86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Эмб-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рио-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троп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ное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дей-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ствие </w:t>
            </w:r>
          </w:p>
        </w:tc>
        <w:tc>
          <w:tcPr>
            <w:tcW w:w="98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Гонадо-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тро-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пное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дей-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ствие </w:t>
            </w:r>
          </w:p>
        </w:tc>
        <w:tc>
          <w:tcPr>
            <w:tcW w:w="92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Терато-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ген-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ное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дей-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ствие </w:t>
            </w:r>
          </w:p>
        </w:tc>
        <w:tc>
          <w:tcPr>
            <w:tcW w:w="92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Мутаген-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ное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дей-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ствие </w:t>
            </w:r>
          </w:p>
        </w:tc>
        <w:tc>
          <w:tcPr>
            <w:tcW w:w="94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Кан-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церо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ген-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ное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дей-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ствие </w:t>
            </w:r>
          </w:p>
        </w:tc>
      </w:tr>
      <w:tr>
        <w:trPr>
          <w:trHeight w:val="30" w:hRule="atLeast"/>
        </w:trPr>
        <w:tc>
          <w:tcPr>
            <w:tcW w:w="118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 </w:t>
            </w:r>
          </w:p>
        </w:tc>
        <w:tc>
          <w:tcPr>
            <w:tcW w:w="102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2 </w:t>
            </w:r>
          </w:p>
        </w:tc>
        <w:tc>
          <w:tcPr>
            <w:tcW w:w="11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3 </w:t>
            </w:r>
          </w:p>
        </w:tc>
        <w:tc>
          <w:tcPr>
            <w:tcW w:w="148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4 </w:t>
            </w:r>
          </w:p>
        </w:tc>
        <w:tc>
          <w:tcPr>
            <w:tcW w:w="93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5 </w:t>
            </w:r>
          </w:p>
        </w:tc>
        <w:tc>
          <w:tcPr>
            <w:tcW w:w="9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6 </w:t>
            </w:r>
          </w:p>
        </w:tc>
        <w:tc>
          <w:tcPr>
            <w:tcW w:w="9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7 </w:t>
            </w:r>
          </w:p>
        </w:tc>
        <w:tc>
          <w:tcPr>
            <w:tcW w:w="9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8 </w:t>
            </w:r>
          </w:p>
        </w:tc>
        <w:tc>
          <w:tcPr>
            <w:tcW w:w="9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9 </w:t>
            </w:r>
          </w:p>
        </w:tc>
        <w:tc>
          <w:tcPr>
            <w:tcW w:w="86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10 </w:t>
            </w:r>
          </w:p>
        </w:tc>
        <w:tc>
          <w:tcPr>
            <w:tcW w:w="98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11 </w:t>
            </w:r>
          </w:p>
        </w:tc>
        <w:tc>
          <w:tcPr>
            <w:tcW w:w="92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12 </w:t>
            </w:r>
          </w:p>
        </w:tc>
        <w:tc>
          <w:tcPr>
            <w:tcW w:w="92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13 </w:t>
            </w:r>
          </w:p>
        </w:tc>
        <w:tc>
          <w:tcPr>
            <w:tcW w:w="94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14 </w:t>
            </w:r>
          </w:p>
        </w:tc>
      </w:tr>
      <w:tr>
        <w:trPr>
          <w:trHeight w:val="30" w:hRule="atLeast"/>
        </w:trPr>
        <w:tc>
          <w:tcPr>
            <w:tcW w:w="118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Ацетон </w:t>
            </w:r>
          </w:p>
        </w:tc>
        <w:tc>
          <w:tcPr>
            <w:tcW w:w="102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3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6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О </w:t>
            </w:r>
          </w:p>
        </w:tc>
        <w:tc>
          <w:tcPr>
            <w:tcW w:w="11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3800,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в/ж,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кролики </w:t>
            </w:r>
          </w:p>
        </w:tc>
        <w:tc>
          <w:tcPr>
            <w:tcW w:w="148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50100,8 ч,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крысы </w:t>
            </w:r>
          </w:p>
        </w:tc>
        <w:tc>
          <w:tcPr>
            <w:tcW w:w="93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слабая </w:t>
            </w:r>
          </w:p>
        </w:tc>
        <w:tc>
          <w:tcPr>
            <w:tcW w:w="9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изу-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чено </w:t>
            </w:r>
          </w:p>
        </w:tc>
        <w:tc>
          <w:tcPr>
            <w:tcW w:w="86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8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изу-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чено </w:t>
            </w:r>
          </w:p>
        </w:tc>
        <w:tc>
          <w:tcPr>
            <w:tcW w:w="92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изу-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чено </w:t>
            </w:r>
          </w:p>
        </w:tc>
        <w:tc>
          <w:tcPr>
            <w:tcW w:w="92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уста-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4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изу-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чено </w:t>
            </w:r>
          </w:p>
        </w:tc>
      </w:tr>
      <w:tr>
        <w:trPr>
          <w:trHeight w:val="30" w:hRule="atLeast"/>
        </w:trPr>
        <w:tc>
          <w:tcPr>
            <w:tcW w:w="118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Бутил-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ацетат </w:t>
            </w:r>
          </w:p>
        </w:tc>
        <w:tc>
          <w:tcPr>
            <w:tcW w:w="102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6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12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О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2 </w:t>
            </w:r>
          </w:p>
        </w:tc>
        <w:tc>
          <w:tcPr>
            <w:tcW w:w="11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4130,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в/ж,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крысы </w:t>
            </w:r>
          </w:p>
        </w:tc>
        <w:tc>
          <w:tcPr>
            <w:tcW w:w="148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6000, 2 ч, мыши </w:t>
            </w:r>
          </w:p>
        </w:tc>
        <w:tc>
          <w:tcPr>
            <w:tcW w:w="93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слабая </w:t>
            </w:r>
          </w:p>
        </w:tc>
        <w:tc>
          <w:tcPr>
            <w:tcW w:w="9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ус-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86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ус-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8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ус-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2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ус-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2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ус-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4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изу-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чено </w:t>
            </w:r>
          </w:p>
        </w:tc>
      </w:tr>
      <w:tr>
        <w:trPr>
          <w:trHeight w:val="30" w:hRule="atLeast"/>
        </w:trPr>
        <w:tc>
          <w:tcPr>
            <w:tcW w:w="118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Бути-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ловый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спирт </w:t>
            </w:r>
          </w:p>
        </w:tc>
        <w:tc>
          <w:tcPr>
            <w:tcW w:w="102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4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10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О </w:t>
            </w:r>
          </w:p>
        </w:tc>
        <w:tc>
          <w:tcPr>
            <w:tcW w:w="11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2680,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в/ж,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мыши </w:t>
            </w:r>
          </w:p>
        </w:tc>
        <w:tc>
          <w:tcPr>
            <w:tcW w:w="148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24624,4 ч,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крысы </w:t>
            </w:r>
          </w:p>
        </w:tc>
        <w:tc>
          <w:tcPr>
            <w:tcW w:w="93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слабая </w:t>
            </w:r>
          </w:p>
        </w:tc>
        <w:tc>
          <w:tcPr>
            <w:tcW w:w="9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ус-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86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ус-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8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ус-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2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ус-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2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ус-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4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ус-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</w:tr>
      <w:tr>
        <w:trPr>
          <w:trHeight w:val="30" w:hRule="atLeast"/>
        </w:trPr>
        <w:tc>
          <w:tcPr>
            <w:tcW w:w="118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Изобу-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тило-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вый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спирт </w:t>
            </w:r>
          </w:p>
        </w:tc>
        <w:tc>
          <w:tcPr>
            <w:tcW w:w="102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4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10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О </w:t>
            </w:r>
          </w:p>
        </w:tc>
        <w:tc>
          <w:tcPr>
            <w:tcW w:w="11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2460,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в/ж,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крысы </w:t>
            </w:r>
          </w:p>
        </w:tc>
        <w:tc>
          <w:tcPr>
            <w:tcW w:w="148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19200,4 ч,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крысы </w:t>
            </w:r>
          </w:p>
        </w:tc>
        <w:tc>
          <w:tcPr>
            <w:tcW w:w="93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слабая </w:t>
            </w:r>
          </w:p>
        </w:tc>
        <w:tc>
          <w:tcPr>
            <w:tcW w:w="9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86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изу-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чено </w:t>
            </w:r>
          </w:p>
        </w:tc>
        <w:tc>
          <w:tcPr>
            <w:tcW w:w="98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изу-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чено </w:t>
            </w:r>
          </w:p>
        </w:tc>
        <w:tc>
          <w:tcPr>
            <w:tcW w:w="92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изу-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чено </w:t>
            </w:r>
          </w:p>
        </w:tc>
        <w:tc>
          <w:tcPr>
            <w:tcW w:w="92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4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изу-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чено </w:t>
            </w:r>
          </w:p>
        </w:tc>
      </w:tr>
      <w:tr>
        <w:trPr>
          <w:trHeight w:val="30" w:hRule="atLeast"/>
        </w:trPr>
        <w:tc>
          <w:tcPr>
            <w:tcW w:w="118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Ксилол </w:t>
            </w:r>
          </w:p>
        </w:tc>
        <w:tc>
          <w:tcPr>
            <w:tcW w:w="102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8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10 </w:t>
            </w:r>
          </w:p>
        </w:tc>
        <w:tc>
          <w:tcPr>
            <w:tcW w:w="11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4300,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в/ж,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крысы </w:t>
            </w:r>
          </w:p>
        </w:tc>
        <w:tc>
          <w:tcPr>
            <w:tcW w:w="148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22084, 4 ч,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крысы </w:t>
            </w:r>
          </w:p>
        </w:tc>
        <w:tc>
          <w:tcPr>
            <w:tcW w:w="93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умерен-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ная </w:t>
            </w:r>
          </w:p>
        </w:tc>
        <w:tc>
          <w:tcPr>
            <w:tcW w:w="9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ус-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86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8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2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2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ус-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4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группа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3 </w:t>
            </w:r>
          </w:p>
        </w:tc>
      </w:tr>
      <w:tr>
        <w:trPr>
          <w:trHeight w:val="30" w:hRule="atLeast"/>
        </w:trPr>
        <w:tc>
          <w:tcPr>
            <w:tcW w:w="118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Толуол </w:t>
            </w:r>
          </w:p>
        </w:tc>
        <w:tc>
          <w:tcPr>
            <w:tcW w:w="102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7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8 </w:t>
            </w:r>
          </w:p>
        </w:tc>
        <w:tc>
          <w:tcPr>
            <w:tcW w:w="11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2600-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7500,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в/ж,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крысы </w:t>
            </w:r>
          </w:p>
        </w:tc>
        <w:tc>
          <w:tcPr>
            <w:tcW w:w="148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53600, 4 ч, крысы </w:t>
            </w:r>
          </w:p>
        </w:tc>
        <w:tc>
          <w:tcPr>
            <w:tcW w:w="93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умерен-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ная </w:t>
            </w:r>
          </w:p>
        </w:tc>
        <w:tc>
          <w:tcPr>
            <w:tcW w:w="9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86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8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изу-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чено </w:t>
            </w:r>
          </w:p>
        </w:tc>
        <w:tc>
          <w:tcPr>
            <w:tcW w:w="92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2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4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группа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3 </w:t>
            </w:r>
          </w:p>
        </w:tc>
      </w:tr>
      <w:tr>
        <w:trPr>
          <w:trHeight w:val="30" w:hRule="atLeast"/>
        </w:trPr>
        <w:tc>
          <w:tcPr>
            <w:tcW w:w="118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Уайт-спирит </w:t>
            </w:r>
          </w:p>
        </w:tc>
        <w:tc>
          <w:tcPr>
            <w:tcW w:w="102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10,5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21 </w:t>
            </w:r>
          </w:p>
        </w:tc>
        <w:tc>
          <w:tcPr>
            <w:tcW w:w="11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62600,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в/ж,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мыши </w:t>
            </w:r>
          </w:p>
        </w:tc>
        <w:tc>
          <w:tcPr>
            <w:tcW w:w="148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50000, 3 ч, мышы </w:t>
            </w:r>
          </w:p>
        </w:tc>
        <w:tc>
          <w:tcPr>
            <w:tcW w:w="93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  <w:tc>
          <w:tcPr>
            <w:tcW w:w="9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86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8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2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изу-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чено </w:t>
            </w:r>
          </w:p>
        </w:tc>
        <w:tc>
          <w:tcPr>
            <w:tcW w:w="92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изу-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чено </w:t>
            </w:r>
          </w:p>
        </w:tc>
        <w:tc>
          <w:tcPr>
            <w:tcW w:w="94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</w:tr>
      <w:tr>
        <w:trPr>
          <w:trHeight w:val="30" w:hRule="atLeast"/>
        </w:trPr>
        <w:tc>
          <w:tcPr>
            <w:tcW w:w="118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Цикло-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гекса-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нон </w:t>
            </w:r>
          </w:p>
        </w:tc>
        <w:tc>
          <w:tcPr>
            <w:tcW w:w="102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6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10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О </w:t>
            </w:r>
          </w:p>
        </w:tc>
        <w:tc>
          <w:tcPr>
            <w:tcW w:w="11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1400-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2780,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в/ж,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мыши </w:t>
            </w:r>
          </w:p>
        </w:tc>
        <w:tc>
          <w:tcPr>
            <w:tcW w:w="148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25000, 4 ч, мыши </w:t>
            </w:r>
          </w:p>
        </w:tc>
        <w:tc>
          <w:tcPr>
            <w:tcW w:w="93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слабая </w:t>
            </w:r>
          </w:p>
        </w:tc>
        <w:tc>
          <w:tcPr>
            <w:tcW w:w="9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изу-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чено </w:t>
            </w:r>
          </w:p>
        </w:tc>
        <w:tc>
          <w:tcPr>
            <w:tcW w:w="86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8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уста-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2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изу-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чено </w:t>
            </w:r>
          </w:p>
        </w:tc>
        <w:tc>
          <w:tcPr>
            <w:tcW w:w="92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4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изу-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чено </w:t>
            </w:r>
          </w:p>
        </w:tc>
      </w:tr>
      <w:tr>
        <w:trPr>
          <w:trHeight w:val="30" w:hRule="atLeast"/>
        </w:trPr>
        <w:tc>
          <w:tcPr>
            <w:tcW w:w="118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Этилен-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гликоль </w:t>
            </w:r>
          </w:p>
        </w:tc>
        <w:tc>
          <w:tcPr>
            <w:tcW w:w="102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2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6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О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2 </w:t>
            </w:r>
          </w:p>
        </w:tc>
        <w:tc>
          <w:tcPr>
            <w:tcW w:w="11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7500-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8050,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в/ж,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мыши </w:t>
            </w:r>
          </w:p>
        </w:tc>
        <w:tc>
          <w:tcPr>
            <w:tcW w:w="148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доста-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точно </w:t>
            </w:r>
          </w:p>
        </w:tc>
        <w:tc>
          <w:tcPr>
            <w:tcW w:w="93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слабая </w:t>
            </w:r>
          </w:p>
        </w:tc>
        <w:tc>
          <w:tcPr>
            <w:tcW w:w="9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86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8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- </w:t>
            </w:r>
          </w:p>
        </w:tc>
        <w:tc>
          <w:tcPr>
            <w:tcW w:w="92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2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4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изу-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чено </w:t>
            </w:r>
          </w:p>
        </w:tc>
      </w:tr>
      <w:tr>
        <w:trPr>
          <w:trHeight w:val="1485" w:hRule="atLeast"/>
        </w:trPr>
        <w:tc>
          <w:tcPr>
            <w:tcW w:w="118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Этил-целло-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зольв </w:t>
            </w:r>
          </w:p>
        </w:tc>
        <w:tc>
          <w:tcPr>
            <w:tcW w:w="102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С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4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10 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О </w:t>
            </w:r>
            <w:r>
              <w:rPr>
                <w:rFonts w:ascii="Times New Roman"/>
                <w:b w:val="false"/>
                <w:i w:val="false"/>
                <w:color w:val="000000"/>
                <w:vertAlign w:val="subscript"/>
              </w:rPr>
              <w:t xml:space="preserve">2 </w:t>
            </w:r>
          </w:p>
        </w:tc>
        <w:tc>
          <w:tcPr>
            <w:tcW w:w="11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2451,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в/ж,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мыши </w:t>
            </w:r>
          </w:p>
        </w:tc>
        <w:tc>
          <w:tcPr>
            <w:tcW w:w="1487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6824,7 ч,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мыши </w:t>
            </w:r>
          </w:p>
        </w:tc>
        <w:tc>
          <w:tcPr>
            <w:tcW w:w="93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умерен-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ная </w:t>
            </w:r>
          </w:p>
        </w:tc>
        <w:tc>
          <w:tcPr>
            <w:tcW w:w="9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19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уста-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868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83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2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установ-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26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уста-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нов-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лено </w:t>
            </w:r>
          </w:p>
        </w:tc>
        <w:tc>
          <w:tcPr>
            <w:tcW w:w="945" w:type="dxa"/>
            <w:tcBorders>
              <w:top w:val="single" w:color="cfcfcf" w:sz="5"/>
              <w:left w:val="single" w:color="cfcfcf" w:sz="5"/>
              <w:bottom w:val="single" w:color="cfcfcf" w:sz="5"/>
              <w:right w:val="single" w:color="cfcfcf" w:sz="5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20"/>
              <w:ind w:left="20"/>
              <w:jc w:val="both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не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изу- 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 xml:space="preserve">
чено </w:t>
            </w:r>
          </w:p>
        </w:tc>
      </w:tr>
    </w:tbl>
    <w:p>
      <w:pPr>
        <w:spacing w:after="0"/>
        <w:ind w:left="0"/>
        <w:jc w:val="both"/>
      </w:pPr>
      <w:r>
        <w:rPr>
          <w:rFonts w:ascii="Times New Roman"/>
          <w:b/>
          <w:i w:val="false"/>
          <w:color w:val="000000"/>
          <w:sz w:val="28"/>
        </w:rPr>
        <w:t xml:space="preserve">           Примечания: 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      DL </w:t>
      </w:r>
      <w:r>
        <w:rPr>
          <w:rFonts w:ascii="Times New Roman"/>
          <w:b w:val="false"/>
          <w:i w:val="false"/>
          <w:color w:val="000000"/>
          <w:vertAlign w:val="subscript"/>
        </w:rPr>
        <w:t xml:space="preserve">50 </w:t>
      </w:r>
      <w:r>
        <w:rPr>
          <w:rFonts w:ascii="Times New Roman"/>
          <w:b w:val="false"/>
          <w:i w:val="false"/>
          <w:color w:val="000000"/>
          <w:sz w:val="28"/>
        </w:rPr>
        <w:t xml:space="preserve">- средняя смертельная доза вещества, вызывающая гибель 50 % всех лабораторных животных при однократном пероральном введении в унифицированных условиях.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CL </w:t>
      </w:r>
      <w:r>
        <w:rPr>
          <w:rFonts w:ascii="Times New Roman"/>
          <w:b w:val="false"/>
          <w:i w:val="false"/>
          <w:color w:val="000000"/>
          <w:vertAlign w:val="subscript"/>
        </w:rPr>
        <w:t xml:space="preserve">50 </w:t>
      </w:r>
      <w:r>
        <w:rPr>
          <w:rFonts w:ascii="Times New Roman"/>
          <w:b w:val="false"/>
          <w:i w:val="false"/>
          <w:color w:val="000000"/>
          <w:sz w:val="28"/>
        </w:rPr>
        <w:t xml:space="preserve">- средняя смертельная концентрация вещества, вызывающая гибель 50 % всех лабораторных животных при однократном ингаляционном введении в унифицированных условиях.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в/ж - введение в желудок.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
      ч - часы </w:t>
      </w:r>
    </w:p>
    <w:p>
      <w:pPr>
        <w:spacing w:after="0"/>
        <w:ind w:left="0"/>
        <w:jc w:val="left"/>
      </w:pPr>
      <w:r>
        <w:br/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				</w:t>
      </w:r>
    </w:p>
    <w:p>
      <w:pPr>
        <w:pStyle w:val="disclaimer"/>
      </w:pPr>
      <w:r>
        <w:rPr>
          <w:rFonts w:ascii="Times New Roman"/>
          <w:b w:val="false"/>
          <w:i w:val="false"/>
          <w:color w:val="000000"/>
        </w:rPr>
        <w:t>
					© 2012. РГП на ПХВ «Институт законодательства и правовой информации Республики Казахстан» Министерства юстиции Республики Казахстан
				</w:t>
      </w:r>
    </w:p>
    <w:sectPr>
      <w:pgSz w:w="11907" w:h="16839" w:code="9"/>
      <w:pgMar w:top="1440" w:right="1080" w:bottom="1440" w:left="1080"/>
    </w:sectPr>
  </w:body>
</w:document>
</file>

<file path=word/numbering.xml><?xml version="1.0" encoding="utf-8"?>
<w:numbering xmlns:w="http://schemas.openxmlformats.org/wordprocessingml/2006/main" xmlns:w15="http://schemas.microsoft.com/office/word/2012/wordml" xmlns:r="http://schemas.openxmlformats.org/officeDocument/2006/relationships" xmlns:m="http://schemas.openxmlformats.org/officeDocument/2006/math" xmlns:w14="http://schemas.microsoft.com/office/word/2010/wordml" xmlns:wp="http://schemas.openxmlformats.org/drawingml/2006/wordprocessingDrawing" xmlns:a="http://schemas.openxmlformats.org/drawingml/2006/main" xmlns:ns8="http://schemas.openxmlformats.org/schemaLibrary/2006/main" xmlns:mc="http://schemas.openxmlformats.org/markup-compatibility/2006" xmlns:wne="http://schemas.microsoft.com/office/word/2006/wordml" xmlns:c="http://schemas.openxmlformats.org/drawingml/2006/chart" xmlns:ns12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ns17="urn:schemas-microsoft-com:office:excel" xmlns:o="urn:schemas-microsoft-com:office:office" xmlns:v="urn:schemas-microsoft-com:vml" xmlns:w10="urn:schemas-microsoft-com:office:word" xmlns:ns21="urn:schemas-microsoft-com:office:powerpoint" xmlns:ns23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ns30="http://schemas.openxmlformats.org/officeDocument/2006/bibliography" xmlns:ns31="http://schemas.openxmlformats.org/drawingml/2006/compatibility" xmlns:ns32="http://schemas.openxmlformats.org/drawingml/2006/lockedCanvas"/>
</file>

<file path=word/styles.xml><?xml version="1.0" encoding="utf-8"?>
<w:styles xmlns:w="http://schemas.openxmlformats.org/wordprocessingml/2006/main" xmlns:w15="http://schemas.microsoft.com/office/word/2012/wordml" xmlns:r="http://schemas.openxmlformats.org/officeDocument/2006/relationships" xmlns:m="http://schemas.openxmlformats.org/officeDocument/2006/math" xmlns:w14="http://schemas.microsoft.com/office/word/2010/wordml" xmlns:wp="http://schemas.openxmlformats.org/drawingml/2006/wordprocessingDrawing" xmlns:a="http://schemas.openxmlformats.org/drawingml/2006/main" xmlns:ns8="http://schemas.openxmlformats.org/schemaLibrary/2006/main" xmlns:mc="http://schemas.openxmlformats.org/markup-compatibility/2006" xmlns:wne="http://schemas.microsoft.com/office/word/2006/wordml" xmlns:c="http://schemas.openxmlformats.org/drawingml/2006/chart" xmlns:ns12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ns17="urn:schemas-microsoft-com:office:excel" xmlns:o="urn:schemas-microsoft-com:office:office" xmlns:v="urn:schemas-microsoft-com:vml" xmlns:w10="urn:schemas-microsoft-com:office:word" xmlns:ns21="urn:schemas-microsoft-com:office:powerpoint" xmlns:ns23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ns30="http://schemas.openxmlformats.org/officeDocument/2006/bibliography" xmlns:ns31="http://schemas.openxmlformats.org/drawingml/2006/compatibility" xmlns:ns32="http://schemas.openxmlformats.org/drawingml/2006/lockedCanvas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false" w:defUIPriority="99" w:defSemiHidden="true" w:defUnhideWhenUsed="true" w:defQFormat="false" w:count="267">
    <w:lsdException w:name="Normal" w:uiPriority="0" w:semiHidden="false" w:unhideWhenUsed="false" w:qFormat="true"/>
    <w:lsdException w:name="heading 1" w:uiPriority="9" w:semiHidden="false" w:unhideWhenUsed="false" w:qFormat="true"/>
    <w:lsdException w:name="heading 2" w:uiPriority="9" w:qFormat="true"/>
    <w:lsdException w:name="heading 3" w:uiPriority="9" w:qFormat="true"/>
    <w:lsdException w:name="heading 4" w:uiPriority="9" w:qFormat="true"/>
    <w:lsdException w:name="Title" w:uiPriority="10" w:semiHidden="false" w:unhideWhenUsed="false" w:qFormat="true"/>
    <w:lsdException w:name="Default Paragraph Font" w:uiPriority="1"/>
    <w:lsdException w:name="Subtitle" w:uiPriority="11" w:semiHidden="false" w:unhideWhenUsed="false" w:qFormat="true"/>
    <w:lsdException w:name="Emphasis" w:uiPriority="20" w:semiHidden="false" w:unhideWhenUsed="false" w:qFormat="true"/>
    <w:lsdException w:name="Table Grid" w:uiPriority="59" w:semiHidden="false" w:unhideWhenUsed="false"/>
  </w:latentStyles>
  <w:style w:type="paragraph" w:styleId="Normal" w:default="true">
    <w:name w:val="Normal"/>
    <w:basedOn w:val="DocDefaults"/>
    <w:qFormat/>
    <w:rsid w:val="004A3277"/>
    <w:rPr>
      <w:rFonts w:ascii="Times New Roman" w:hAnsi="Times New Roman" w:eastAsia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="Times New Roman" w:hAnsi="Times New Roman" w:eastAsia="Times New Roman" w:cs="Times New Roma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="Times New Roman" w:hAnsi="Times New Roman" w:eastAsia="Times New Roman" w:cs="Times New Roma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="Times New Roman" w:hAnsi="Times New Roman" w:eastAsia="Times New Roman" w:cs="Times New Roman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="Times New Roman" w:hAnsi="Times New Roman" w:eastAsia="Times New Roman" w:cs="Times New Roman"/>
    </w:rPr>
  </w:style>
  <w:style w:type="character" w:styleId="DefaultParagraphFont" w:default="true">
    <w:name w:val="Default Paragraph Font"/>
    <w:uiPriority w:val="1"/>
    <w:semiHidden/>
    <w:unhideWhenUsed/>
    <w:rPr>
      <w:rFonts w:ascii="Times New Roman" w:hAnsi="Times New Roman" w:eastAsia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  <w:rPr>
      <w:rFonts w:ascii="Times New Roman" w:hAnsi="Times New Roman" w:eastAsia="Times New Roman" w:cs="Times New Roman"/>
    </w:rPr>
  </w:style>
  <w:style w:type="character" w:styleId="HeaderChar" w:customStyle="true">
    <w:name w:val="Header Char"/>
    <w:basedOn w:val="DefaultParagraphFont"/>
    <w:link w:val="Header"/>
    <w:uiPriority w:val="99"/>
    <w:rsid w:val="00841CD9"/>
    <w:rPr>
      <w:rFonts w:ascii="Times New Roman" w:hAnsi="Times New Roman" w:eastAsia="Times New Roman" w:cs="Times New Roman"/>
    </w:rPr>
  </w:style>
  <w:style w:type="character" w:styleId="Heading1Char" w:customStyle="true">
    <w:name w:val="Heading 1 Char"/>
    <w:basedOn w:val="DefaultParagraphFont"/>
    <w:link w:val="Heading1"/>
    <w:uiPriority w:val="9"/>
    <w:rsid w:val="00841CD9"/>
    <w:rPr>
      <w:rFonts w:ascii="Times New Roman" w:hAnsi="Times New Roman" w:eastAsia="Times New Roman" w:cs="Times New Roman"/>
    </w:rPr>
  </w:style>
  <w:style w:type="character" w:styleId="Heading2Char" w:customStyle="true">
    <w:name w:val="Heading 2 Char"/>
    <w:basedOn w:val="DefaultParagraphFont"/>
    <w:link w:val="Heading2"/>
    <w:uiPriority w:val="9"/>
    <w:rsid w:val="00841CD9"/>
    <w:rPr>
      <w:rFonts w:ascii="Times New Roman" w:hAnsi="Times New Roman" w:eastAsia="Times New Roman" w:cs="Times New Roman"/>
    </w:rPr>
  </w:style>
  <w:style w:type="character" w:styleId="Heading3Char" w:customStyle="true">
    <w:name w:val="Heading 3 Char"/>
    <w:basedOn w:val="DefaultParagraphFont"/>
    <w:link w:val="Heading3"/>
    <w:uiPriority w:val="9"/>
    <w:rsid w:val="00841CD9"/>
    <w:rPr>
      <w:rFonts w:ascii="Times New Roman" w:hAnsi="Times New Roman" w:eastAsia="Times New Roman" w:cs="Times New Roman"/>
    </w:rPr>
  </w:style>
  <w:style w:type="character" w:styleId="Heading4Char" w:customStyle="true">
    <w:name w:val="Heading 4 Char"/>
    <w:basedOn w:val="DefaultParagraphFont"/>
    <w:link w:val="Heading4"/>
    <w:uiPriority w:val="9"/>
    <w:rsid w:val="00841CD9"/>
    <w:rPr>
      <w:rFonts w:ascii="Times New Roman" w:hAnsi="Times New Roman" w:eastAsia="Times New Roman" w:cs="Times New Roman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  <w:rPr>
      <w:rFonts w:ascii="Times New Roman" w:hAnsi="Times New Roman" w:eastAsia="Times New Roman" w:cs="Times New Roman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="Times New Roman" w:hAnsi="Times New Roman" w:eastAsia="Times New Roman" w:cs="Times New Roman"/>
    </w:rPr>
  </w:style>
  <w:style w:type="character" w:styleId="SubtitleChar" w:customStyle="true">
    <w:name w:val="Subtitle Char"/>
    <w:basedOn w:val="DefaultParagraphFont"/>
    <w:link w:val="Subtitle"/>
    <w:uiPriority w:val="11"/>
    <w:rsid w:val="00841CD9"/>
    <w:rPr>
      <w:rFonts w:ascii="Times New Roman" w:hAnsi="Times New Roman" w:eastAsia="Times New Roman" w:cs="Times New Roman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color="4F81BD" w:themeColor="accent1" w:sz="8" w:space="4"/>
      </w:pBdr>
      <w:spacing w:after="300"/>
      <w:contextualSpacing/>
    </w:pPr>
    <w:rPr>
      <w:rFonts w:ascii="Times New Roman" w:hAnsi="Times New Roman" w:eastAsia="Times New Roman" w:cs="Times New Roman"/>
    </w:rPr>
  </w:style>
  <w:style w:type="character" w:styleId="TitleChar" w:customStyle="true">
    <w:name w:val="Title Char"/>
    <w:basedOn w:val="DefaultParagraphFont"/>
    <w:link w:val="Title"/>
    <w:uiPriority w:val="10"/>
    <w:rsid w:val="00841CD9"/>
    <w:rPr>
      <w:rFonts w:ascii="Times New Roman" w:hAnsi="Times New Roman" w:eastAsia="Times New Roman" w:cs="Times New Roman"/>
    </w:rPr>
  </w:style>
  <w:style w:type="character" w:styleId="Emphasis">
    <w:name w:val="Emphasis"/>
    <w:basedOn w:val="DefaultParagraphFont"/>
    <w:uiPriority w:val="20"/>
    <w:qFormat/>
    <w:rsid w:val="00D1197D"/>
    <w:rPr>
      <w:rFonts w:ascii="Times New Roman" w:hAnsi="Times New Roman" w:eastAsia="Times New Roman" w:cs="Times New Roman"/>
    </w:rPr>
  </w:style>
  <w:style w:type="character" w:styleId="Hyperlink">
    <w:name w:val="Hyperlink"/>
    <w:basedOn w:val="DefaultParagraphFont"/>
    <w:uiPriority w:val="99"/>
    <w:unhideWhenUsed/>
    <w:rPr>
      <w:rFonts w:ascii="Times New Roman" w:hAnsi="Times New Roman" w:eastAsia="Times New Roman" w:cs="Times New Roman"/>
    </w:rPr>
  </w:style>
  <w:style w:type="table" w:styleId="TableGrid">
    <w:name w:val="Table Grid"/>
    <w:basedOn w:val="TableNormal"/>
    <w:uiPriority w:val="59"/>
    <w:pPr>
      <w:spacing w:after="0" w:line="240" w:lineRule="auto"/>
    </w:pPr>
    <w:rPr>
      <w:rFonts w:ascii="Times New Roman" w:hAnsi="Times New Roman" w:eastAsia="Times New Roman" w:cs="Times New Roman"/>
    </w:r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Normal" w:default="true">
    <w:name w:val="Normal Table"/>
    <w:uiPriority w:val="99"/>
    <w:semiHidden/>
    <w:unhideWhenUsed/>
    <w:qFormat/>
    <w:rPr>
      <w:rFonts w:ascii="Times New Roman" w:hAnsi="Times New Roman" w:eastAsia="Times New Roman" w:cs="Times New Roman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rFonts w:ascii="Times New Roman" w:hAnsi="Times New Roman" w:eastAsia="Times New Roman" w:cs="Times New Roman"/>
    </w:rPr>
  </w:style>
  <w:style w:type="paragraph" w:styleId="disclaimer">
    <w:name w:val="disclaimer"/>
    <w:basedOn w:val="Normal"/>
    <w:pPr>
      <w:jc w:val="center"/>
    </w:pPr>
    <w:rPr>
      <w:sz w:val="18"/>
      <w:szCs w:val="18"/>
    </w:rPr>
  </w:style>
  <w:style w:type="paragraph" w:styleId="DocDefaults">
    <w:name w:val="DocDefaults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</w:styles>
</file>

<file path=word/_rels/document.xml.rels><?xml version="1.0" encoding="UTF-8" standalone="yes"?><Relationships xmlns="http://schemas.openxmlformats.org/package/2006/relationships"><Relationship Target="styles.xml" Type="http://schemas.openxmlformats.org/officeDocument/2006/relationships/styles" Id="rId1"/><Relationship Target="numbering.xml" Type="http://schemas.openxmlformats.org/officeDocument/2006/relationships/numbering" Id="rId2"/><Relationship Target="media/document_image_rId3.png" Type="http://schemas.openxmlformats.org/officeDocument/2006/relationships/image" Id="rId3"/></Relationships>
</file>

<file path=docProps/app.xml><?xml version="1.0" encoding="utf-8"?>
<properties:Properties xmlns:vt="http://schemas.openxmlformats.org/officeDocument/2006/docPropsVTypes" xmlns:properties="http://schemas.openxmlformats.org/officeDocument/2006/extended-properties"/>
</file>

<file path=docProps/core.xml><?xml version="1.0" encoding="utf-8"?>
<cp:coreProperties xmlns:cp="http://schemas.openxmlformats.org/package/2006/metadata/core-properties" xmlns:dcterms="http://purl.org/dc/terms/" xmlns:dc="http://purl.org/dc/elements/1.1/"/>
</file>